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65" w:rsidRPr="00350572" w:rsidRDefault="004C19E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Інформація щодо процедур закупів</w:t>
      </w:r>
      <w:r w:rsidR="0011292A" w:rsidRPr="00350572">
        <w:rPr>
          <w:rFonts w:ascii="Times New Roman" w:hAnsi="Times New Roman" w:cs="Times New Roman"/>
          <w:sz w:val="20"/>
          <w:szCs w:val="20"/>
          <w:lang w:val="uk-UA"/>
        </w:rPr>
        <w:t>ель</w:t>
      </w:r>
      <w:r w:rsidR="00EA1F65" w:rsidRPr="00350572">
        <w:rPr>
          <w:rFonts w:ascii="Times New Roman" w:hAnsi="Times New Roman" w:cs="Times New Roman"/>
          <w:sz w:val="20"/>
          <w:szCs w:val="20"/>
          <w:lang w:val="uk-UA"/>
        </w:rPr>
        <w:t xml:space="preserve"> </w:t>
      </w:r>
      <w:r w:rsidR="00DF3C56" w:rsidRPr="00350572">
        <w:rPr>
          <w:rFonts w:ascii="Times New Roman" w:hAnsi="Times New Roman" w:cs="Times New Roman"/>
          <w:sz w:val="20"/>
          <w:szCs w:val="20"/>
          <w:lang w:val="uk-UA"/>
        </w:rPr>
        <w:t>на 2026</w:t>
      </w:r>
      <w:r w:rsidR="003B4031" w:rsidRPr="00350572">
        <w:rPr>
          <w:rFonts w:ascii="Times New Roman" w:hAnsi="Times New Roman" w:cs="Times New Roman"/>
          <w:sz w:val="20"/>
          <w:szCs w:val="20"/>
          <w:lang w:val="uk-UA"/>
        </w:rPr>
        <w:t xml:space="preserve"> рік</w:t>
      </w:r>
    </w:p>
    <w:p w:rsidR="008375D4"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Комунального некомерційного підприємства</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«Міська стоматологічна поліклініка № 8»</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Харківської міської ради</w:t>
      </w:r>
    </w:p>
    <w:p w:rsidR="008E4502" w:rsidRPr="00350572" w:rsidRDefault="00EA1F65" w:rsidP="00877727">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на виконання Постанови Кабінету Міністрів України від 11 жовтня 2016 р. № 710 зі змінами</w:t>
      </w:r>
    </w:p>
    <w:tbl>
      <w:tblPr>
        <w:tblStyle w:val="a3"/>
        <w:tblW w:w="15253" w:type="dxa"/>
        <w:tblInd w:w="-34" w:type="dxa"/>
        <w:tblLayout w:type="fixed"/>
        <w:tblLook w:val="04A0"/>
      </w:tblPr>
      <w:tblGrid>
        <w:gridCol w:w="653"/>
        <w:gridCol w:w="1899"/>
        <w:gridCol w:w="3119"/>
        <w:gridCol w:w="1559"/>
        <w:gridCol w:w="2410"/>
        <w:gridCol w:w="1842"/>
        <w:gridCol w:w="284"/>
        <w:gridCol w:w="1276"/>
        <w:gridCol w:w="992"/>
        <w:gridCol w:w="1219"/>
      </w:tblGrid>
      <w:tr w:rsidR="0011292A" w:rsidRPr="00DA6171" w:rsidTr="00465A60">
        <w:tc>
          <w:tcPr>
            <w:tcW w:w="653"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з/п</w:t>
            </w:r>
          </w:p>
        </w:tc>
        <w:tc>
          <w:tcPr>
            <w:tcW w:w="189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Найменування предмету закупівлі із зазначенням коду ЄЗС</w:t>
            </w:r>
          </w:p>
        </w:tc>
        <w:tc>
          <w:tcPr>
            <w:tcW w:w="3119" w:type="dxa"/>
          </w:tcPr>
          <w:p w:rsidR="0011292A" w:rsidRPr="00DA6171" w:rsidRDefault="0011292A" w:rsidP="0069054A">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Ідентифікатор процедури закупівлі на </w:t>
            </w:r>
            <w:proofErr w:type="spellStart"/>
            <w:r w:rsidRPr="00DA6171">
              <w:rPr>
                <w:rFonts w:ascii="Times New Roman" w:hAnsi="Times New Roman" w:cs="Times New Roman"/>
                <w:sz w:val="16"/>
                <w:szCs w:val="16"/>
                <w:lang w:val="uk-UA"/>
              </w:rPr>
              <w:t>Прозорро</w:t>
            </w:r>
            <w:proofErr w:type="spellEnd"/>
            <w:r w:rsidRPr="00DA6171">
              <w:rPr>
                <w:rFonts w:ascii="Times New Roman" w:hAnsi="Times New Roman" w:cs="Times New Roman"/>
                <w:sz w:val="16"/>
                <w:szCs w:val="16"/>
                <w:lang w:val="uk-UA"/>
              </w:rPr>
              <w:t>/ тип процедури закупівлі/</w:t>
            </w:r>
            <w:r w:rsidRPr="00DA6171">
              <w:rPr>
                <w:rFonts w:ascii="Times New Roman" w:hAnsi="Times New Roman" w:cs="Times New Roman"/>
                <w:b/>
                <w:bCs/>
                <w:sz w:val="16"/>
                <w:szCs w:val="16"/>
              </w:rPr>
              <w:t xml:space="preserve"> </w:t>
            </w:r>
            <w:r w:rsidRPr="00DA6171">
              <w:rPr>
                <w:rFonts w:ascii="Times New Roman" w:hAnsi="Times New Roman" w:cs="Times New Roman"/>
                <w:bCs/>
                <w:sz w:val="16"/>
                <w:szCs w:val="16"/>
                <w:lang w:val="uk-UA"/>
              </w:rPr>
              <w:t>підстава для здійснення закупівлі</w:t>
            </w:r>
            <w:r w:rsidRPr="00DA6171">
              <w:rPr>
                <w:rFonts w:ascii="Times New Roman" w:hAnsi="Times New Roman" w:cs="Times New Roman"/>
                <w:sz w:val="16"/>
                <w:szCs w:val="16"/>
                <w:lang w:val="uk-UA"/>
              </w:rPr>
              <w:t xml:space="preserve"> </w:t>
            </w:r>
          </w:p>
        </w:tc>
        <w:tc>
          <w:tcPr>
            <w:tcW w:w="155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Очікувана вартість предмета закупівлі, </w:t>
            </w:r>
          </w:p>
          <w:p w:rsidR="0011292A" w:rsidRPr="00DA6171" w:rsidRDefault="0011292A" w:rsidP="0045184B">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 з ПДВ</w:t>
            </w:r>
          </w:p>
        </w:tc>
        <w:tc>
          <w:tcPr>
            <w:tcW w:w="2410" w:type="dxa"/>
          </w:tcPr>
          <w:p w:rsidR="0011292A" w:rsidRPr="00DA6171" w:rsidRDefault="0011292A" w:rsidP="00CF6B06">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технічних та якісних характеристик предмета закупівлі</w:t>
            </w:r>
          </w:p>
        </w:tc>
        <w:tc>
          <w:tcPr>
            <w:tcW w:w="1842" w:type="dxa"/>
          </w:tcPr>
          <w:p w:rsidR="0011292A" w:rsidRPr="00DA6171" w:rsidRDefault="0011292A" w:rsidP="00AA1D0E">
            <w:pPr>
              <w:jc w:val="center"/>
              <w:rPr>
                <w:rFonts w:ascii="Times New Roman" w:hAnsi="Times New Roman" w:cs="Times New Roman"/>
                <w:sz w:val="16"/>
                <w:szCs w:val="16"/>
                <w:lang w:val="uk-UA"/>
              </w:rPr>
            </w:pPr>
            <w:proofErr w:type="spellStart"/>
            <w:r w:rsidRPr="00DA6171">
              <w:rPr>
                <w:rFonts w:ascii="Times New Roman" w:hAnsi="Times New Roman" w:cs="Times New Roman"/>
                <w:sz w:val="16"/>
                <w:szCs w:val="16"/>
                <w:lang w:val="uk-UA"/>
              </w:rPr>
              <w:t>Обгрунтування</w:t>
            </w:r>
            <w:proofErr w:type="spellEnd"/>
            <w:r w:rsidRPr="00DA6171">
              <w:rPr>
                <w:rFonts w:ascii="Times New Roman" w:hAnsi="Times New Roman" w:cs="Times New Roman"/>
                <w:sz w:val="16"/>
                <w:szCs w:val="16"/>
                <w:lang w:val="uk-UA"/>
              </w:rPr>
              <w:t xml:space="preserve"> розміру  бюджетного призначення</w:t>
            </w:r>
          </w:p>
        </w:tc>
        <w:tc>
          <w:tcPr>
            <w:tcW w:w="3771" w:type="dxa"/>
            <w:gridSpan w:val="4"/>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очікуваної вартості предмета закупівлі</w:t>
            </w:r>
          </w:p>
        </w:tc>
      </w:tr>
      <w:tr w:rsidR="00D24F14" w:rsidRPr="00DF3C56" w:rsidTr="00A44854">
        <w:trPr>
          <w:trHeight w:val="259"/>
        </w:trPr>
        <w:tc>
          <w:tcPr>
            <w:tcW w:w="653" w:type="dxa"/>
            <w:vMerge w:val="restart"/>
          </w:tcPr>
          <w:p w:rsidR="00D24F14" w:rsidRPr="00DA6171" w:rsidRDefault="00D24F14" w:rsidP="00D24F14">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1</w:t>
            </w:r>
          </w:p>
        </w:tc>
        <w:tc>
          <w:tcPr>
            <w:tcW w:w="1899" w:type="dxa"/>
            <w:vMerge w:val="restart"/>
          </w:tcPr>
          <w:p w:rsidR="00D24F14" w:rsidRPr="00DA6171" w:rsidRDefault="000C6C05" w:rsidP="000C6C0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Електрична енергія           (код </w:t>
            </w:r>
            <w:proofErr w:type="spellStart"/>
            <w:r w:rsidR="00D36184" w:rsidRPr="00DA6171">
              <w:rPr>
                <w:rFonts w:ascii="Times New Roman" w:hAnsi="Times New Roman" w:cs="Times New Roman"/>
                <w:sz w:val="16"/>
                <w:szCs w:val="16"/>
                <w:lang w:val="uk-UA"/>
              </w:rPr>
              <w:t>ДК</w:t>
            </w:r>
            <w:proofErr w:type="spellEnd"/>
            <w:r w:rsidR="00D36184" w:rsidRPr="00DA6171">
              <w:rPr>
                <w:rFonts w:ascii="Times New Roman" w:hAnsi="Times New Roman" w:cs="Times New Roman"/>
                <w:sz w:val="16"/>
                <w:szCs w:val="16"/>
                <w:lang w:val="uk-UA"/>
              </w:rPr>
              <w:t xml:space="preserve"> 021:2015 </w:t>
            </w:r>
            <w:r w:rsidRPr="00DA6171">
              <w:rPr>
                <w:rFonts w:ascii="Times New Roman" w:hAnsi="Times New Roman" w:cs="Times New Roman"/>
                <w:sz w:val="16"/>
                <w:szCs w:val="16"/>
                <w:lang w:val="uk-UA"/>
              </w:rPr>
              <w:t>-</w:t>
            </w:r>
            <w:r w:rsidR="00D36184" w:rsidRPr="00DA6171">
              <w:rPr>
                <w:rFonts w:ascii="Times New Roman" w:hAnsi="Times New Roman" w:cs="Times New Roman"/>
                <w:sz w:val="16"/>
                <w:szCs w:val="16"/>
                <w:lang w:val="uk-UA"/>
              </w:rPr>
              <w:t>0931</w:t>
            </w:r>
            <w:r w:rsidR="00D24F14" w:rsidRPr="00DA6171">
              <w:rPr>
                <w:rFonts w:ascii="Times New Roman" w:hAnsi="Times New Roman" w:cs="Times New Roman"/>
                <w:sz w:val="16"/>
                <w:szCs w:val="16"/>
                <w:lang w:val="uk-UA"/>
              </w:rPr>
              <w:t>0000-</w:t>
            </w:r>
            <w:r w:rsidR="00D36184" w:rsidRPr="00DA6171">
              <w:rPr>
                <w:rFonts w:ascii="Times New Roman" w:hAnsi="Times New Roman" w:cs="Times New Roman"/>
                <w:sz w:val="16"/>
                <w:szCs w:val="16"/>
                <w:lang w:val="uk-UA"/>
              </w:rPr>
              <w:t xml:space="preserve">5 </w:t>
            </w:r>
            <w:r w:rsidRPr="00DA6171">
              <w:rPr>
                <w:rFonts w:ascii="Times New Roman" w:hAnsi="Times New Roman" w:cs="Times New Roman"/>
                <w:sz w:val="16"/>
                <w:szCs w:val="16"/>
                <w:lang w:val="uk-UA"/>
              </w:rPr>
              <w:t>«Електрична енергія»</w:t>
            </w:r>
            <w:r w:rsidR="00D24F14" w:rsidRPr="00DA6171">
              <w:rPr>
                <w:rFonts w:ascii="Times New Roman" w:hAnsi="Times New Roman" w:cs="Times New Roman"/>
                <w:sz w:val="16"/>
                <w:szCs w:val="16"/>
                <w:lang w:val="uk-UA"/>
              </w:rPr>
              <w:t>)</w:t>
            </w:r>
          </w:p>
        </w:tc>
        <w:tc>
          <w:tcPr>
            <w:tcW w:w="3119" w:type="dxa"/>
            <w:vMerge w:val="restart"/>
          </w:tcPr>
          <w:p w:rsidR="00D24F14" w:rsidRPr="00DF3C56" w:rsidRDefault="00D21275" w:rsidP="00D24F14">
            <w:pPr>
              <w:jc w:val="both"/>
              <w:rPr>
                <w:rFonts w:ascii="Times New Roman" w:hAnsi="Times New Roman" w:cs="Times New Roman"/>
                <w:sz w:val="16"/>
                <w:szCs w:val="16"/>
                <w:highlight w:val="yellow"/>
                <w:lang w:val="uk-UA"/>
              </w:rPr>
            </w:pPr>
            <w:r w:rsidRPr="00D21275">
              <w:rPr>
                <w:rFonts w:ascii="Times New Roman" w:hAnsi="Times New Roman" w:cs="Times New Roman"/>
                <w:sz w:val="16"/>
                <w:szCs w:val="16"/>
                <w:lang w:val="uk-UA"/>
              </w:rPr>
              <w:t>UA-2025-11-20-018379-a</w:t>
            </w:r>
            <w:r w:rsidR="00354B93" w:rsidRPr="00D21275">
              <w:rPr>
                <w:rFonts w:ascii="Times New Roman" w:hAnsi="Times New Roman" w:cs="Times New Roman"/>
                <w:sz w:val="16"/>
                <w:szCs w:val="16"/>
                <w:lang w:val="uk-UA"/>
              </w:rPr>
              <w:t>/</w:t>
            </w:r>
          </w:p>
          <w:p w:rsidR="00D24F14" w:rsidRPr="00DF3C56" w:rsidRDefault="00D24F14" w:rsidP="00D24F14">
            <w:pPr>
              <w:jc w:val="both"/>
              <w:rPr>
                <w:rFonts w:ascii="Times New Roman" w:hAnsi="Times New Roman" w:cs="Times New Roman"/>
                <w:sz w:val="16"/>
                <w:szCs w:val="16"/>
                <w:highlight w:val="yellow"/>
                <w:lang w:val="uk-UA"/>
              </w:rPr>
            </w:pPr>
            <w:r w:rsidRPr="00D21275">
              <w:rPr>
                <w:rFonts w:ascii="Times New Roman" w:hAnsi="Times New Roman" w:cs="Times New Roman"/>
                <w:sz w:val="16"/>
                <w:szCs w:val="16"/>
                <w:lang w:val="uk-UA"/>
              </w:rPr>
              <w:t>Закупівля через централізовану закупівельну організацію/</w:t>
            </w:r>
          </w:p>
          <w:p w:rsidR="00D24F14" w:rsidRPr="00ED69D6" w:rsidRDefault="00D24F14" w:rsidP="00D24F14">
            <w:pPr>
              <w:pStyle w:val="af0"/>
              <w:ind w:left="0" w:firstLine="0"/>
              <w:rPr>
                <w:rFonts w:eastAsiaTheme="minorHAnsi"/>
                <w:sz w:val="16"/>
                <w:szCs w:val="16"/>
                <w:lang w:val="uk-UA" w:eastAsia="en-US"/>
              </w:rPr>
            </w:pPr>
            <w:r w:rsidRPr="00ED69D6">
              <w:rPr>
                <w:rFonts w:eastAsiaTheme="minorHAnsi"/>
                <w:bCs/>
                <w:sz w:val="16"/>
                <w:szCs w:val="16"/>
                <w:lang w:val="uk-UA" w:eastAsia="en-US"/>
              </w:rPr>
              <w:t>Відповідно до</w:t>
            </w:r>
            <w:r w:rsidRPr="00ED69D6">
              <w:rPr>
                <w:rFonts w:eastAsiaTheme="minorHAnsi"/>
                <w:b/>
                <w:bCs/>
                <w:sz w:val="16"/>
                <w:szCs w:val="16"/>
                <w:lang w:val="uk-UA" w:eastAsia="en-US"/>
              </w:rPr>
              <w:t xml:space="preserve"> </w:t>
            </w:r>
            <w:r w:rsidRPr="00ED69D6">
              <w:rPr>
                <w:rFonts w:eastAsiaTheme="minorHAnsi"/>
                <w:sz w:val="16"/>
                <w:szCs w:val="16"/>
                <w:lang w:val="uk-UA" w:eastAsia="en-US"/>
              </w:rPr>
              <w:t xml:space="preserve">Рішення 15 сесії Харківської міської ради 8 скликання від 28.02.2023 №350/23 "Про організацію діяльності комунального підприємства «Централізована закупівельна організація Харківської міської ради»" (зі змінами) закупівля електричної енергії за кодом </w:t>
            </w:r>
            <w:proofErr w:type="spellStart"/>
            <w:r w:rsidRPr="00ED69D6">
              <w:rPr>
                <w:rFonts w:eastAsiaTheme="minorHAnsi"/>
                <w:sz w:val="16"/>
                <w:szCs w:val="16"/>
                <w:lang w:val="uk-UA" w:eastAsia="en-US"/>
              </w:rPr>
              <w:t>ДК</w:t>
            </w:r>
            <w:proofErr w:type="spellEnd"/>
            <w:r w:rsidRPr="00ED69D6">
              <w:rPr>
                <w:rFonts w:eastAsiaTheme="minorHAnsi"/>
                <w:sz w:val="16"/>
                <w:szCs w:val="16"/>
                <w:lang w:val="uk-UA" w:eastAsia="en-US"/>
              </w:rPr>
              <w:t xml:space="preserve"> 021:2015 09310000-5 Електрична енергія проводиться через комунальне підприємство «Централізована закупівельна організація Харківської міської ради»".</w:t>
            </w:r>
          </w:p>
          <w:p w:rsidR="00D24F14" w:rsidRPr="00ED69D6" w:rsidRDefault="00D24F14" w:rsidP="00D24F14">
            <w:pPr>
              <w:rPr>
                <w:rFonts w:ascii="Times New Roman" w:hAnsi="Times New Roman" w:cs="Times New Roman"/>
                <w:sz w:val="16"/>
                <w:szCs w:val="16"/>
                <w:lang w:val="uk-UA"/>
              </w:rPr>
            </w:pPr>
          </w:p>
          <w:p w:rsidR="00D24F14" w:rsidRPr="00DF3C56" w:rsidRDefault="00D24F14" w:rsidP="00D24F14">
            <w:pPr>
              <w:rPr>
                <w:rFonts w:ascii="Times New Roman" w:hAnsi="Times New Roman" w:cs="Times New Roman"/>
                <w:sz w:val="16"/>
                <w:szCs w:val="16"/>
                <w:highlight w:val="yellow"/>
                <w:lang w:val="uk-UA"/>
              </w:rPr>
            </w:pPr>
          </w:p>
          <w:p w:rsidR="00D24F14" w:rsidRPr="00DF3C56" w:rsidRDefault="00D24F14" w:rsidP="00D24F14">
            <w:pPr>
              <w:rPr>
                <w:rFonts w:ascii="Times New Roman" w:hAnsi="Times New Roman" w:cs="Times New Roman"/>
                <w:sz w:val="16"/>
                <w:szCs w:val="16"/>
                <w:highlight w:val="yellow"/>
                <w:lang w:val="uk-UA"/>
              </w:rPr>
            </w:pPr>
          </w:p>
          <w:p w:rsidR="00D24F14" w:rsidRPr="00DF3C56" w:rsidRDefault="00D24F14" w:rsidP="00D24F14">
            <w:pPr>
              <w:rPr>
                <w:rFonts w:ascii="Times New Roman" w:hAnsi="Times New Roman" w:cs="Times New Roman"/>
                <w:sz w:val="16"/>
                <w:szCs w:val="16"/>
                <w:highlight w:val="yellow"/>
                <w:lang w:val="uk-UA"/>
              </w:rPr>
            </w:pPr>
          </w:p>
          <w:p w:rsidR="00D24F14" w:rsidRPr="00DF3C56" w:rsidRDefault="00D24F14" w:rsidP="00D24F14">
            <w:pPr>
              <w:rPr>
                <w:rFonts w:ascii="Times New Roman" w:hAnsi="Times New Roman" w:cs="Times New Roman"/>
                <w:sz w:val="16"/>
                <w:szCs w:val="16"/>
                <w:highlight w:val="yellow"/>
                <w:lang w:val="uk-UA"/>
              </w:rPr>
            </w:pPr>
          </w:p>
          <w:p w:rsidR="00D24F14" w:rsidRPr="00DF3C56" w:rsidRDefault="00D24F14" w:rsidP="00D24F14">
            <w:pPr>
              <w:rPr>
                <w:rFonts w:ascii="Times New Roman" w:hAnsi="Times New Roman" w:cs="Times New Roman"/>
                <w:sz w:val="16"/>
                <w:szCs w:val="16"/>
                <w:highlight w:val="yellow"/>
                <w:lang w:val="uk-UA"/>
              </w:rPr>
            </w:pPr>
          </w:p>
        </w:tc>
        <w:tc>
          <w:tcPr>
            <w:tcW w:w="1559" w:type="dxa"/>
            <w:vMerge w:val="restart"/>
          </w:tcPr>
          <w:p w:rsidR="00D24F14" w:rsidRPr="00893DD6" w:rsidRDefault="00D136B0" w:rsidP="00D24F14">
            <w:pPr>
              <w:rPr>
                <w:rFonts w:ascii="Times New Roman" w:hAnsi="Times New Roman" w:cs="Times New Roman"/>
                <w:color w:val="000000" w:themeColor="text1"/>
                <w:sz w:val="16"/>
                <w:szCs w:val="16"/>
                <w:shd w:val="clear" w:color="auto" w:fill="FFFFFF"/>
                <w:lang w:val="uk-UA"/>
              </w:rPr>
            </w:pPr>
            <w:r w:rsidRPr="00893DD6">
              <w:rPr>
                <w:rFonts w:ascii="Times New Roman" w:hAnsi="Times New Roman" w:cs="Times New Roman"/>
                <w:sz w:val="16"/>
                <w:szCs w:val="16"/>
                <w:lang w:val="uk-UA"/>
              </w:rPr>
              <w:t>500 580</w:t>
            </w:r>
            <w:r w:rsidR="00D24F14" w:rsidRPr="00893DD6">
              <w:rPr>
                <w:rFonts w:ascii="Times New Roman" w:hAnsi="Times New Roman" w:cs="Times New Roman"/>
                <w:sz w:val="16"/>
                <w:szCs w:val="16"/>
                <w:lang w:val="uk-UA"/>
              </w:rPr>
              <w:t xml:space="preserve">,00 грн. , </w:t>
            </w:r>
            <w:r w:rsidR="00D24F14" w:rsidRPr="00893DD6">
              <w:rPr>
                <w:rFonts w:ascii="Times New Roman" w:hAnsi="Times New Roman" w:cs="Times New Roman"/>
                <w:color w:val="000000" w:themeColor="text1"/>
                <w:sz w:val="16"/>
                <w:szCs w:val="16"/>
                <w:shd w:val="clear" w:color="auto" w:fill="FFFFFF"/>
                <w:lang w:val="uk-UA"/>
              </w:rPr>
              <w:t>у т.ч.</w:t>
            </w:r>
          </w:p>
          <w:p w:rsidR="00D24F14" w:rsidRPr="00DF3C56" w:rsidRDefault="00D136B0" w:rsidP="00D24F14">
            <w:pPr>
              <w:jc w:val="center"/>
              <w:rPr>
                <w:rFonts w:ascii="Times New Roman" w:hAnsi="Times New Roman" w:cs="Times New Roman"/>
                <w:sz w:val="16"/>
                <w:szCs w:val="16"/>
                <w:highlight w:val="yellow"/>
                <w:lang w:val="uk-UA"/>
              </w:rPr>
            </w:pPr>
            <w:r w:rsidRPr="00893DD6">
              <w:rPr>
                <w:rFonts w:ascii="Times New Roman" w:hAnsi="Times New Roman" w:cs="Times New Roman"/>
                <w:sz w:val="16"/>
                <w:szCs w:val="16"/>
                <w:lang w:val="uk-UA"/>
              </w:rPr>
              <w:t>місцевий бюджет - 175</w:t>
            </w:r>
            <w:r w:rsidR="00D24F14" w:rsidRPr="00893DD6">
              <w:rPr>
                <w:rFonts w:ascii="Times New Roman" w:hAnsi="Times New Roman" w:cs="Times New Roman"/>
                <w:sz w:val="16"/>
                <w:szCs w:val="16"/>
                <w:lang w:val="uk-UA"/>
              </w:rPr>
              <w:t> 000,00 грн.; власний бюджет (кошти від господарської ді</w:t>
            </w:r>
            <w:r w:rsidR="00F82121" w:rsidRPr="00893DD6">
              <w:rPr>
                <w:rFonts w:ascii="Times New Roman" w:hAnsi="Times New Roman" w:cs="Times New Roman"/>
                <w:sz w:val="16"/>
                <w:szCs w:val="16"/>
                <w:lang w:val="uk-UA"/>
              </w:rPr>
              <w:t>яльності підприємства) – 325 580</w:t>
            </w:r>
            <w:r w:rsidR="00D24F14" w:rsidRPr="00893DD6">
              <w:rPr>
                <w:rFonts w:ascii="Times New Roman" w:hAnsi="Times New Roman" w:cs="Times New Roman"/>
                <w:sz w:val="16"/>
                <w:szCs w:val="16"/>
                <w:lang w:val="uk-UA"/>
              </w:rPr>
              <w:t>,00  грн.</w:t>
            </w:r>
          </w:p>
        </w:tc>
        <w:tc>
          <w:tcPr>
            <w:tcW w:w="2410" w:type="dxa"/>
            <w:vMerge w:val="restart"/>
          </w:tcPr>
          <w:p w:rsidR="00D24F14" w:rsidRPr="00704360" w:rsidRDefault="00D24F14" w:rsidP="00D24F14">
            <w:pPr>
              <w:jc w:val="center"/>
              <w:rPr>
                <w:rFonts w:ascii="Times New Roman" w:hAnsi="Times New Roman" w:cs="Times New Roman"/>
                <w:color w:val="000000" w:themeColor="text1"/>
                <w:sz w:val="16"/>
                <w:szCs w:val="16"/>
                <w:lang w:val="uk-UA"/>
              </w:rPr>
            </w:pPr>
            <w:r w:rsidRPr="00704360">
              <w:rPr>
                <w:rFonts w:ascii="Times New Roman" w:hAnsi="Times New Roman" w:cs="Times New Roman"/>
                <w:color w:val="000000" w:themeColor="text1"/>
                <w:sz w:val="16"/>
                <w:szCs w:val="16"/>
                <w:lang w:val="uk-UA"/>
              </w:rPr>
              <w:t>Технічні та якісні характеристики предмета закупівлі визначені на підставі діючих в Україні стандартів.</w:t>
            </w:r>
          </w:p>
          <w:p w:rsidR="00D24F14" w:rsidRPr="00DF3C56" w:rsidRDefault="00704360" w:rsidP="00D24F14">
            <w:pPr>
              <w:jc w:val="center"/>
              <w:rPr>
                <w:rFonts w:ascii="Times New Roman" w:hAnsi="Times New Roman" w:cs="Times New Roman"/>
                <w:sz w:val="16"/>
                <w:szCs w:val="16"/>
                <w:highlight w:val="yellow"/>
                <w:lang w:val="uk-UA"/>
              </w:rPr>
            </w:pPr>
            <w:r w:rsidRPr="00704360">
              <w:rPr>
                <w:rFonts w:ascii="Times New Roman" w:hAnsi="Times New Roman" w:cs="Times New Roman"/>
                <w:color w:val="000000" w:themeColor="text1"/>
                <w:sz w:val="16"/>
                <w:szCs w:val="16"/>
                <w:lang w:val="uk-UA"/>
              </w:rPr>
              <w:t>Обсяг закупівлі для потреб 2026</w:t>
            </w:r>
            <w:r w:rsidR="00D24F14" w:rsidRPr="00704360">
              <w:rPr>
                <w:rFonts w:ascii="Times New Roman" w:hAnsi="Times New Roman" w:cs="Times New Roman"/>
                <w:color w:val="000000" w:themeColor="text1"/>
                <w:sz w:val="16"/>
                <w:szCs w:val="16"/>
                <w:lang w:val="uk-UA"/>
              </w:rPr>
              <w:t xml:space="preserve"> року – 54000 кВт/год.</w:t>
            </w:r>
          </w:p>
        </w:tc>
        <w:tc>
          <w:tcPr>
            <w:tcW w:w="1842" w:type="dxa"/>
            <w:vMerge w:val="restart"/>
            <w:shd w:val="clear" w:color="auto" w:fill="auto"/>
          </w:tcPr>
          <w:p w:rsidR="00D24F14" w:rsidRPr="00DF3C56" w:rsidRDefault="00D24F14" w:rsidP="00D24F14">
            <w:pPr>
              <w:jc w:val="center"/>
              <w:rPr>
                <w:rFonts w:ascii="Times New Roman" w:hAnsi="Times New Roman" w:cs="Times New Roman"/>
                <w:sz w:val="16"/>
                <w:szCs w:val="16"/>
                <w:highlight w:val="yellow"/>
                <w:lang w:val="uk-UA"/>
              </w:rPr>
            </w:pPr>
            <w:r w:rsidRPr="007A3309">
              <w:rPr>
                <w:rFonts w:ascii="Times New Roman" w:hAnsi="Times New Roman" w:cs="Times New Roman"/>
                <w:color w:val="000000" w:themeColor="text1"/>
                <w:sz w:val="16"/>
                <w:szCs w:val="16"/>
                <w:shd w:val="clear" w:color="auto" w:fill="FFFFFF"/>
                <w:lang w:val="uk-UA"/>
              </w:rPr>
              <w:t>Розмір бюджетного призначення відпові</w:t>
            </w:r>
            <w:r w:rsidR="007A3309" w:rsidRPr="007A3309">
              <w:rPr>
                <w:rFonts w:ascii="Times New Roman" w:hAnsi="Times New Roman" w:cs="Times New Roman"/>
                <w:color w:val="000000" w:themeColor="text1"/>
                <w:sz w:val="16"/>
                <w:szCs w:val="16"/>
                <w:shd w:val="clear" w:color="auto" w:fill="FFFFFF"/>
                <w:lang w:val="uk-UA"/>
              </w:rPr>
              <w:t>дно до бюджетного запиту на 2026</w:t>
            </w:r>
            <w:r w:rsidRPr="007A3309">
              <w:rPr>
                <w:rFonts w:ascii="Times New Roman" w:hAnsi="Times New Roman" w:cs="Times New Roman"/>
                <w:color w:val="000000" w:themeColor="text1"/>
                <w:sz w:val="16"/>
                <w:szCs w:val="16"/>
                <w:shd w:val="clear" w:color="auto" w:fill="FFFFFF"/>
                <w:lang w:val="uk-UA"/>
              </w:rPr>
              <w:t xml:space="preserve"> рік</w:t>
            </w:r>
          </w:p>
        </w:tc>
        <w:tc>
          <w:tcPr>
            <w:tcW w:w="284" w:type="dxa"/>
            <w:vAlign w:val="center"/>
          </w:tcPr>
          <w:p w:rsidR="00D24F14" w:rsidRPr="00E57DA8" w:rsidRDefault="00D24F14" w:rsidP="00D24F14">
            <w:pPr>
              <w:jc w:val="center"/>
              <w:rPr>
                <w:rFonts w:ascii="Times New Roman" w:hAnsi="Times New Roman" w:cs="Times New Roman"/>
                <w:b/>
                <w:i/>
                <w:sz w:val="16"/>
                <w:szCs w:val="16"/>
              </w:rPr>
            </w:pPr>
            <w:r w:rsidRPr="00E57DA8">
              <w:rPr>
                <w:rFonts w:ascii="Times New Roman" w:hAnsi="Times New Roman" w:cs="Times New Roman"/>
                <w:b/>
                <w:i/>
                <w:sz w:val="16"/>
                <w:szCs w:val="16"/>
              </w:rPr>
              <w:t>№</w:t>
            </w:r>
          </w:p>
        </w:tc>
        <w:tc>
          <w:tcPr>
            <w:tcW w:w="1276" w:type="dxa"/>
            <w:vAlign w:val="center"/>
          </w:tcPr>
          <w:p w:rsidR="00D24F14" w:rsidRPr="00E57DA8" w:rsidRDefault="00D24F14" w:rsidP="00D24F14">
            <w:pPr>
              <w:jc w:val="center"/>
              <w:rPr>
                <w:rFonts w:ascii="Times New Roman" w:hAnsi="Times New Roman" w:cs="Times New Roman"/>
                <w:b/>
                <w:sz w:val="16"/>
                <w:szCs w:val="16"/>
              </w:rPr>
            </w:pPr>
            <w:proofErr w:type="spellStart"/>
            <w:r w:rsidRPr="00E57DA8">
              <w:rPr>
                <w:rFonts w:ascii="Times New Roman" w:hAnsi="Times New Roman" w:cs="Times New Roman"/>
                <w:b/>
                <w:sz w:val="16"/>
                <w:szCs w:val="16"/>
              </w:rPr>
              <w:t>Показник</w:t>
            </w:r>
            <w:proofErr w:type="spellEnd"/>
          </w:p>
        </w:tc>
        <w:tc>
          <w:tcPr>
            <w:tcW w:w="992" w:type="dxa"/>
            <w:vAlign w:val="center"/>
          </w:tcPr>
          <w:p w:rsidR="00D24F14" w:rsidRPr="00E57DA8" w:rsidRDefault="00D24F14" w:rsidP="00D24F14">
            <w:pPr>
              <w:jc w:val="center"/>
              <w:rPr>
                <w:rFonts w:ascii="Times New Roman" w:hAnsi="Times New Roman" w:cs="Times New Roman"/>
                <w:b/>
                <w:sz w:val="16"/>
                <w:szCs w:val="16"/>
                <w:lang w:val="uk-UA"/>
              </w:rPr>
            </w:pPr>
            <w:proofErr w:type="spellStart"/>
            <w:r w:rsidRPr="00E57DA8">
              <w:rPr>
                <w:rFonts w:ascii="Times New Roman" w:hAnsi="Times New Roman" w:cs="Times New Roman"/>
                <w:b/>
                <w:sz w:val="16"/>
                <w:szCs w:val="16"/>
              </w:rPr>
              <w:t>Значення</w:t>
            </w:r>
            <w:proofErr w:type="spellEnd"/>
            <w:r w:rsidR="00465A60" w:rsidRPr="00E57DA8">
              <w:rPr>
                <w:rFonts w:ascii="Times New Roman" w:hAnsi="Times New Roman" w:cs="Times New Roman"/>
                <w:b/>
                <w:sz w:val="16"/>
                <w:szCs w:val="16"/>
                <w:lang w:val="uk-UA"/>
              </w:rPr>
              <w:t>, грн.</w:t>
            </w:r>
          </w:p>
        </w:tc>
        <w:tc>
          <w:tcPr>
            <w:tcW w:w="1219" w:type="dxa"/>
            <w:vAlign w:val="center"/>
          </w:tcPr>
          <w:p w:rsidR="00D24F14" w:rsidRPr="00E57DA8" w:rsidRDefault="00D24F14" w:rsidP="00D24F14">
            <w:pPr>
              <w:jc w:val="center"/>
              <w:rPr>
                <w:rFonts w:ascii="Times New Roman" w:hAnsi="Times New Roman" w:cs="Times New Roman"/>
                <w:b/>
                <w:sz w:val="16"/>
                <w:szCs w:val="16"/>
              </w:rPr>
            </w:pPr>
            <w:proofErr w:type="spellStart"/>
            <w:r w:rsidRPr="00E57DA8">
              <w:rPr>
                <w:rFonts w:ascii="Times New Roman" w:hAnsi="Times New Roman" w:cs="Times New Roman"/>
                <w:b/>
                <w:sz w:val="16"/>
                <w:szCs w:val="16"/>
              </w:rPr>
              <w:t>Примітка</w:t>
            </w:r>
            <w:proofErr w:type="spellEnd"/>
          </w:p>
        </w:tc>
      </w:tr>
      <w:tr w:rsidR="00D24F14" w:rsidRPr="00DF3C56" w:rsidTr="006039D4">
        <w:trPr>
          <w:trHeight w:val="500"/>
        </w:trPr>
        <w:tc>
          <w:tcPr>
            <w:tcW w:w="653"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1899"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3119" w:type="dxa"/>
            <w:vMerge/>
          </w:tcPr>
          <w:p w:rsidR="00D24F14" w:rsidRPr="00DF3C56" w:rsidRDefault="00D24F14" w:rsidP="00D24F14">
            <w:pPr>
              <w:jc w:val="both"/>
              <w:rPr>
                <w:rFonts w:ascii="Times New Roman" w:hAnsi="Times New Roman" w:cs="Times New Roman"/>
                <w:sz w:val="16"/>
                <w:szCs w:val="16"/>
                <w:highlight w:val="yellow"/>
                <w:lang w:val="uk-UA"/>
              </w:rPr>
            </w:pPr>
          </w:p>
        </w:tc>
        <w:tc>
          <w:tcPr>
            <w:tcW w:w="1559" w:type="dxa"/>
            <w:vMerge/>
          </w:tcPr>
          <w:p w:rsidR="00D24F14" w:rsidRPr="00DF3C56" w:rsidRDefault="00D24F14" w:rsidP="00D24F14">
            <w:pPr>
              <w:rPr>
                <w:rFonts w:ascii="Times New Roman" w:hAnsi="Times New Roman" w:cs="Times New Roman"/>
                <w:sz w:val="16"/>
                <w:szCs w:val="16"/>
                <w:highlight w:val="yellow"/>
                <w:lang w:val="uk-UA"/>
              </w:rPr>
            </w:pPr>
          </w:p>
        </w:tc>
        <w:tc>
          <w:tcPr>
            <w:tcW w:w="2410" w:type="dxa"/>
            <w:vMerge/>
          </w:tcPr>
          <w:p w:rsidR="00D24F14" w:rsidRPr="00DF3C56" w:rsidRDefault="00D24F14" w:rsidP="00D24F14">
            <w:pPr>
              <w:jc w:val="center"/>
              <w:rPr>
                <w:rFonts w:ascii="Times New Roman" w:hAnsi="Times New Roman" w:cs="Times New Roman"/>
                <w:color w:val="000000" w:themeColor="text1"/>
                <w:sz w:val="16"/>
                <w:szCs w:val="16"/>
                <w:highlight w:val="yellow"/>
                <w:lang w:val="uk-UA"/>
              </w:rPr>
            </w:pPr>
          </w:p>
        </w:tc>
        <w:tc>
          <w:tcPr>
            <w:tcW w:w="1842" w:type="dxa"/>
            <w:vMerge/>
            <w:shd w:val="clear" w:color="auto" w:fill="auto"/>
          </w:tcPr>
          <w:p w:rsidR="00D24F14" w:rsidRPr="00DF3C56" w:rsidRDefault="00D24F14" w:rsidP="00D24F14">
            <w:pPr>
              <w:jc w:val="center"/>
              <w:rPr>
                <w:rFonts w:ascii="Times New Roman" w:hAnsi="Times New Roman" w:cs="Times New Roman"/>
                <w:color w:val="000000" w:themeColor="text1"/>
                <w:sz w:val="16"/>
                <w:szCs w:val="16"/>
                <w:highlight w:val="yellow"/>
                <w:shd w:val="clear" w:color="auto" w:fill="FFFFFF"/>
                <w:lang w:val="uk-UA"/>
              </w:rPr>
            </w:pPr>
          </w:p>
        </w:tc>
        <w:tc>
          <w:tcPr>
            <w:tcW w:w="284" w:type="dxa"/>
            <w:vAlign w:val="center"/>
          </w:tcPr>
          <w:p w:rsidR="00D24F14" w:rsidRPr="00DF3C56" w:rsidRDefault="00D24F14" w:rsidP="00465A60">
            <w:pPr>
              <w:jc w:val="both"/>
              <w:rPr>
                <w:rFonts w:ascii="Times New Roman" w:hAnsi="Times New Roman" w:cs="Times New Roman"/>
                <w:sz w:val="16"/>
                <w:szCs w:val="16"/>
                <w:highlight w:val="yellow"/>
                <w:lang w:val="uk-UA"/>
              </w:rPr>
            </w:pPr>
            <w:r w:rsidRPr="006039D4">
              <w:rPr>
                <w:rFonts w:ascii="Times New Roman" w:hAnsi="Times New Roman" w:cs="Times New Roman"/>
                <w:sz w:val="16"/>
                <w:szCs w:val="16"/>
              </w:rPr>
              <w:t>1</w:t>
            </w:r>
          </w:p>
        </w:tc>
        <w:tc>
          <w:tcPr>
            <w:tcW w:w="1276" w:type="dxa"/>
            <w:shd w:val="clear" w:color="auto" w:fill="auto"/>
            <w:vAlign w:val="center"/>
          </w:tcPr>
          <w:p w:rsidR="00D24F14" w:rsidRPr="00E57DA8" w:rsidRDefault="00D24F14" w:rsidP="00465A60">
            <w:pPr>
              <w:rPr>
                <w:rFonts w:ascii="Times New Roman" w:hAnsi="Times New Roman" w:cs="Times New Roman"/>
                <w:sz w:val="16"/>
                <w:szCs w:val="16"/>
                <w:highlight w:val="yellow"/>
                <w:lang w:val="uk-UA"/>
              </w:rPr>
            </w:pPr>
            <w:proofErr w:type="spellStart"/>
            <w:r w:rsidRPr="006039D4">
              <w:rPr>
                <w:rFonts w:ascii="Times New Roman" w:hAnsi="Times New Roman" w:cs="Times New Roman"/>
                <w:sz w:val="16"/>
                <w:szCs w:val="16"/>
              </w:rPr>
              <w:t>Середньозважена</w:t>
            </w:r>
            <w:proofErr w:type="spellEnd"/>
            <w:r w:rsidRPr="006039D4">
              <w:rPr>
                <w:rFonts w:ascii="Times New Roman" w:hAnsi="Times New Roman" w:cs="Times New Roman"/>
                <w:sz w:val="16"/>
                <w:szCs w:val="16"/>
              </w:rPr>
              <w:t xml:space="preserve"> </w:t>
            </w:r>
            <w:proofErr w:type="spellStart"/>
            <w:r w:rsidRPr="006039D4">
              <w:rPr>
                <w:rFonts w:ascii="Times New Roman" w:hAnsi="Times New Roman" w:cs="Times New Roman"/>
                <w:sz w:val="16"/>
                <w:szCs w:val="16"/>
              </w:rPr>
              <w:t>ціна</w:t>
            </w:r>
            <w:proofErr w:type="spellEnd"/>
            <w:r w:rsidRPr="006039D4">
              <w:rPr>
                <w:rFonts w:ascii="Times New Roman" w:hAnsi="Times New Roman" w:cs="Times New Roman"/>
                <w:sz w:val="16"/>
                <w:szCs w:val="16"/>
              </w:rPr>
              <w:t xml:space="preserve"> РДН за </w:t>
            </w:r>
            <w:proofErr w:type="spellStart"/>
            <w:r w:rsidRPr="006039D4">
              <w:rPr>
                <w:rFonts w:ascii="Times New Roman" w:hAnsi="Times New Roman" w:cs="Times New Roman"/>
                <w:sz w:val="16"/>
                <w:szCs w:val="16"/>
              </w:rPr>
              <w:t>жовтень</w:t>
            </w:r>
            <w:proofErr w:type="spellEnd"/>
            <w:r w:rsidR="00E57DA8" w:rsidRPr="006039D4">
              <w:rPr>
                <w:rFonts w:ascii="Times New Roman" w:hAnsi="Times New Roman" w:cs="Times New Roman"/>
                <w:sz w:val="16"/>
                <w:szCs w:val="16"/>
                <w:lang w:val="uk-UA"/>
              </w:rPr>
              <w:t xml:space="preserve">  2025 р.</w:t>
            </w:r>
          </w:p>
        </w:tc>
        <w:tc>
          <w:tcPr>
            <w:tcW w:w="992" w:type="dxa"/>
            <w:vAlign w:val="center"/>
          </w:tcPr>
          <w:p w:rsidR="00D24F14" w:rsidRPr="007E5B5A" w:rsidRDefault="007E5B5A" w:rsidP="00D24F14">
            <w:pPr>
              <w:jc w:val="center"/>
              <w:rPr>
                <w:rFonts w:ascii="Times New Roman" w:hAnsi="Times New Roman" w:cs="Times New Roman"/>
                <w:sz w:val="16"/>
                <w:szCs w:val="16"/>
                <w:lang w:val="uk-UA"/>
              </w:rPr>
            </w:pPr>
            <w:r w:rsidRPr="007E5B5A">
              <w:rPr>
                <w:rFonts w:ascii="Times New Roman" w:hAnsi="Times New Roman" w:cs="Times New Roman"/>
                <w:sz w:val="16"/>
                <w:szCs w:val="16"/>
                <w:lang w:val="uk-UA"/>
              </w:rPr>
              <w:t>6,39570</w:t>
            </w:r>
          </w:p>
        </w:tc>
        <w:tc>
          <w:tcPr>
            <w:tcW w:w="1219" w:type="dxa"/>
            <w:vAlign w:val="center"/>
          </w:tcPr>
          <w:p w:rsidR="00D24F14" w:rsidRPr="007E5B5A" w:rsidRDefault="00D24F14" w:rsidP="00D24F14">
            <w:pPr>
              <w:jc w:val="center"/>
              <w:rPr>
                <w:rFonts w:ascii="Times New Roman" w:hAnsi="Times New Roman" w:cs="Times New Roman"/>
                <w:sz w:val="16"/>
                <w:szCs w:val="16"/>
              </w:rPr>
            </w:pPr>
            <w:r w:rsidRPr="007E5B5A">
              <w:rPr>
                <w:rFonts w:ascii="Times New Roman" w:hAnsi="Times New Roman" w:cs="Times New Roman"/>
                <w:sz w:val="16"/>
                <w:szCs w:val="16"/>
              </w:rPr>
              <w:t>Сайт ДП «Оператор ринка» https://www.oree.com.ua/</w:t>
            </w:r>
          </w:p>
        </w:tc>
      </w:tr>
      <w:tr w:rsidR="00D24F14" w:rsidRPr="00DF3C56" w:rsidTr="00A44854">
        <w:trPr>
          <w:trHeight w:val="500"/>
        </w:trPr>
        <w:tc>
          <w:tcPr>
            <w:tcW w:w="653"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1899"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3119" w:type="dxa"/>
            <w:vMerge/>
          </w:tcPr>
          <w:p w:rsidR="00D24F14" w:rsidRPr="00DF3C56" w:rsidRDefault="00D24F14" w:rsidP="00D24F14">
            <w:pPr>
              <w:jc w:val="both"/>
              <w:rPr>
                <w:rFonts w:ascii="Times New Roman" w:hAnsi="Times New Roman" w:cs="Times New Roman"/>
                <w:sz w:val="16"/>
                <w:szCs w:val="16"/>
                <w:highlight w:val="yellow"/>
                <w:lang w:val="uk-UA"/>
              </w:rPr>
            </w:pPr>
          </w:p>
        </w:tc>
        <w:tc>
          <w:tcPr>
            <w:tcW w:w="1559" w:type="dxa"/>
            <w:vMerge/>
          </w:tcPr>
          <w:p w:rsidR="00D24F14" w:rsidRPr="00DF3C56" w:rsidRDefault="00D24F14" w:rsidP="00D24F14">
            <w:pPr>
              <w:rPr>
                <w:rFonts w:ascii="Times New Roman" w:hAnsi="Times New Roman" w:cs="Times New Roman"/>
                <w:sz w:val="16"/>
                <w:szCs w:val="16"/>
                <w:highlight w:val="yellow"/>
                <w:lang w:val="uk-UA"/>
              </w:rPr>
            </w:pPr>
          </w:p>
        </w:tc>
        <w:tc>
          <w:tcPr>
            <w:tcW w:w="2410" w:type="dxa"/>
            <w:vMerge/>
          </w:tcPr>
          <w:p w:rsidR="00D24F14" w:rsidRPr="00DF3C56" w:rsidRDefault="00D24F14" w:rsidP="00D24F14">
            <w:pPr>
              <w:jc w:val="center"/>
              <w:rPr>
                <w:rFonts w:ascii="Times New Roman" w:hAnsi="Times New Roman" w:cs="Times New Roman"/>
                <w:color w:val="000000" w:themeColor="text1"/>
                <w:sz w:val="16"/>
                <w:szCs w:val="16"/>
                <w:highlight w:val="yellow"/>
                <w:lang w:val="uk-UA"/>
              </w:rPr>
            </w:pPr>
          </w:p>
        </w:tc>
        <w:tc>
          <w:tcPr>
            <w:tcW w:w="1842" w:type="dxa"/>
            <w:vMerge/>
            <w:shd w:val="clear" w:color="auto" w:fill="auto"/>
          </w:tcPr>
          <w:p w:rsidR="00D24F14" w:rsidRPr="00DF3C56" w:rsidRDefault="00D24F14" w:rsidP="00D24F14">
            <w:pPr>
              <w:jc w:val="center"/>
              <w:rPr>
                <w:rFonts w:ascii="Times New Roman" w:hAnsi="Times New Roman" w:cs="Times New Roman"/>
                <w:color w:val="000000" w:themeColor="text1"/>
                <w:sz w:val="16"/>
                <w:szCs w:val="16"/>
                <w:highlight w:val="yellow"/>
                <w:shd w:val="clear" w:color="auto" w:fill="FFFFFF"/>
                <w:lang w:val="uk-UA"/>
              </w:rPr>
            </w:pPr>
          </w:p>
        </w:tc>
        <w:tc>
          <w:tcPr>
            <w:tcW w:w="284" w:type="dxa"/>
            <w:vAlign w:val="center"/>
          </w:tcPr>
          <w:p w:rsidR="00D24F14" w:rsidRPr="00C91796" w:rsidRDefault="00D24F14" w:rsidP="00465A60">
            <w:pPr>
              <w:jc w:val="both"/>
              <w:rPr>
                <w:rFonts w:ascii="Times New Roman" w:hAnsi="Times New Roman" w:cs="Times New Roman"/>
                <w:sz w:val="16"/>
                <w:szCs w:val="16"/>
                <w:lang w:val="uk-UA"/>
              </w:rPr>
            </w:pPr>
            <w:r w:rsidRPr="00C91796">
              <w:rPr>
                <w:rFonts w:ascii="Times New Roman" w:hAnsi="Times New Roman" w:cs="Times New Roman"/>
                <w:sz w:val="16"/>
                <w:szCs w:val="16"/>
              </w:rPr>
              <w:t>2</w:t>
            </w:r>
          </w:p>
        </w:tc>
        <w:tc>
          <w:tcPr>
            <w:tcW w:w="1276" w:type="dxa"/>
            <w:vAlign w:val="center"/>
          </w:tcPr>
          <w:p w:rsidR="00D24F14" w:rsidRPr="00C91796" w:rsidRDefault="00D24F14" w:rsidP="00465A60">
            <w:pPr>
              <w:rPr>
                <w:rFonts w:ascii="Times New Roman" w:hAnsi="Times New Roman" w:cs="Times New Roman"/>
                <w:sz w:val="16"/>
                <w:szCs w:val="16"/>
              </w:rPr>
            </w:pPr>
            <w:r w:rsidRPr="00C91796">
              <w:rPr>
                <w:rFonts w:ascii="Times New Roman" w:hAnsi="Times New Roman" w:cs="Times New Roman"/>
                <w:sz w:val="16"/>
                <w:szCs w:val="16"/>
              </w:rPr>
              <w:t xml:space="preserve">Тариф на </w:t>
            </w:r>
            <w:proofErr w:type="spellStart"/>
            <w:r w:rsidRPr="00C91796">
              <w:rPr>
                <w:rFonts w:ascii="Times New Roman" w:hAnsi="Times New Roman" w:cs="Times New Roman"/>
                <w:sz w:val="16"/>
                <w:szCs w:val="16"/>
              </w:rPr>
              <w:t>послуги</w:t>
            </w:r>
            <w:proofErr w:type="spellEnd"/>
            <w:r w:rsidRPr="00C91796">
              <w:rPr>
                <w:rFonts w:ascii="Times New Roman" w:hAnsi="Times New Roman" w:cs="Times New Roman"/>
                <w:sz w:val="16"/>
                <w:szCs w:val="16"/>
              </w:rPr>
              <w:t xml:space="preserve"> </w:t>
            </w:r>
            <w:r w:rsidR="00C91796" w:rsidRPr="00C91796">
              <w:rPr>
                <w:rFonts w:ascii="Times New Roman" w:hAnsi="Times New Roman" w:cs="Times New Roman"/>
                <w:sz w:val="16"/>
                <w:szCs w:val="16"/>
                <w:lang w:val="uk-UA"/>
              </w:rPr>
              <w:t xml:space="preserve"> з </w:t>
            </w:r>
            <w:r w:rsidR="00C91796" w:rsidRPr="00C91796">
              <w:rPr>
                <w:rFonts w:ascii="Times New Roman" w:hAnsi="Times New Roman" w:cs="Times New Roman"/>
                <w:sz w:val="16"/>
                <w:szCs w:val="16"/>
              </w:rPr>
              <w:t>передач</w:t>
            </w:r>
            <w:r w:rsidR="00C91796" w:rsidRPr="00C91796">
              <w:rPr>
                <w:rFonts w:ascii="Times New Roman" w:hAnsi="Times New Roman" w:cs="Times New Roman"/>
                <w:sz w:val="16"/>
                <w:szCs w:val="16"/>
                <w:lang w:val="uk-UA"/>
              </w:rPr>
              <w:t xml:space="preserve">і </w:t>
            </w:r>
            <w:r w:rsidRPr="00C91796">
              <w:rPr>
                <w:rFonts w:ascii="Times New Roman" w:hAnsi="Times New Roman" w:cs="Times New Roman"/>
                <w:sz w:val="16"/>
                <w:szCs w:val="16"/>
              </w:rPr>
              <w:t xml:space="preserve"> НЕК «</w:t>
            </w:r>
            <w:proofErr w:type="spellStart"/>
            <w:r w:rsidRPr="00C91796">
              <w:rPr>
                <w:rFonts w:ascii="Times New Roman" w:hAnsi="Times New Roman" w:cs="Times New Roman"/>
                <w:sz w:val="16"/>
                <w:szCs w:val="16"/>
              </w:rPr>
              <w:t>Укренерго</w:t>
            </w:r>
            <w:proofErr w:type="spellEnd"/>
            <w:r w:rsidRPr="00C91796">
              <w:rPr>
                <w:rFonts w:ascii="Times New Roman" w:hAnsi="Times New Roman" w:cs="Times New Roman"/>
                <w:sz w:val="16"/>
                <w:szCs w:val="16"/>
              </w:rPr>
              <w:t xml:space="preserve">» </w:t>
            </w:r>
          </w:p>
        </w:tc>
        <w:tc>
          <w:tcPr>
            <w:tcW w:w="992" w:type="dxa"/>
            <w:vAlign w:val="center"/>
          </w:tcPr>
          <w:p w:rsidR="00D24F14" w:rsidRPr="00C91796" w:rsidRDefault="00C91796" w:rsidP="00D24F14">
            <w:pPr>
              <w:jc w:val="center"/>
              <w:rPr>
                <w:rFonts w:ascii="Times New Roman" w:hAnsi="Times New Roman" w:cs="Times New Roman"/>
                <w:sz w:val="16"/>
                <w:szCs w:val="16"/>
                <w:lang w:val="uk-UA"/>
              </w:rPr>
            </w:pPr>
            <w:r w:rsidRPr="00C91796">
              <w:rPr>
                <w:rFonts w:ascii="Times New Roman" w:hAnsi="Times New Roman" w:cs="Times New Roman"/>
                <w:sz w:val="16"/>
                <w:szCs w:val="16"/>
                <w:lang w:val="uk-UA"/>
              </w:rPr>
              <w:t>0,68623</w:t>
            </w:r>
          </w:p>
        </w:tc>
        <w:tc>
          <w:tcPr>
            <w:tcW w:w="1219" w:type="dxa"/>
            <w:vAlign w:val="center"/>
          </w:tcPr>
          <w:p w:rsidR="00D24F14" w:rsidRPr="00C91796" w:rsidRDefault="00C91796" w:rsidP="00D24F14">
            <w:pPr>
              <w:jc w:val="center"/>
              <w:rPr>
                <w:rFonts w:ascii="Times New Roman" w:hAnsi="Times New Roman" w:cs="Times New Roman"/>
                <w:sz w:val="16"/>
                <w:szCs w:val="16"/>
                <w:lang w:val="uk-UA"/>
              </w:rPr>
            </w:pPr>
            <w:r w:rsidRPr="00C91796">
              <w:rPr>
                <w:rFonts w:ascii="Times New Roman" w:hAnsi="Times New Roman" w:cs="Times New Roman"/>
                <w:sz w:val="16"/>
                <w:szCs w:val="16"/>
              </w:rPr>
              <w:t>Постанова НКРЕКП № 2</w:t>
            </w:r>
            <w:r w:rsidRPr="00C91796">
              <w:rPr>
                <w:rFonts w:ascii="Times New Roman" w:hAnsi="Times New Roman" w:cs="Times New Roman"/>
                <w:sz w:val="16"/>
                <w:szCs w:val="16"/>
                <w:lang w:val="uk-UA"/>
              </w:rPr>
              <w:t>200</w:t>
            </w:r>
            <w:r w:rsidR="00D24F14" w:rsidRPr="00C91796">
              <w:rPr>
                <w:rFonts w:ascii="Times New Roman" w:hAnsi="Times New Roman" w:cs="Times New Roman"/>
                <w:sz w:val="16"/>
                <w:szCs w:val="16"/>
              </w:rPr>
              <w:t xml:space="preserve"> </w:t>
            </w:r>
            <w:proofErr w:type="spellStart"/>
            <w:r w:rsidR="00D24F14" w:rsidRPr="00C91796">
              <w:rPr>
                <w:rFonts w:ascii="Times New Roman" w:hAnsi="Times New Roman" w:cs="Times New Roman"/>
                <w:sz w:val="16"/>
                <w:szCs w:val="16"/>
              </w:rPr>
              <w:t>від</w:t>
            </w:r>
            <w:proofErr w:type="spellEnd"/>
            <w:r w:rsidR="00D24F14" w:rsidRPr="00C91796">
              <w:rPr>
                <w:rFonts w:ascii="Times New Roman" w:hAnsi="Times New Roman" w:cs="Times New Roman"/>
                <w:sz w:val="16"/>
                <w:szCs w:val="16"/>
              </w:rPr>
              <w:t xml:space="preserve"> 09.12.202</w:t>
            </w:r>
            <w:r w:rsidRPr="00C91796">
              <w:rPr>
                <w:rFonts w:ascii="Times New Roman" w:hAnsi="Times New Roman" w:cs="Times New Roman"/>
                <w:sz w:val="16"/>
                <w:szCs w:val="16"/>
                <w:lang w:val="uk-UA"/>
              </w:rPr>
              <w:t>4</w:t>
            </w:r>
          </w:p>
        </w:tc>
      </w:tr>
      <w:tr w:rsidR="00D24F14" w:rsidRPr="00DF3C56" w:rsidTr="00A44854">
        <w:trPr>
          <w:trHeight w:val="500"/>
        </w:trPr>
        <w:tc>
          <w:tcPr>
            <w:tcW w:w="653"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1899"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3119" w:type="dxa"/>
            <w:vMerge/>
          </w:tcPr>
          <w:p w:rsidR="00D24F14" w:rsidRPr="00DF3C56" w:rsidRDefault="00D24F14" w:rsidP="00D24F14">
            <w:pPr>
              <w:jc w:val="both"/>
              <w:rPr>
                <w:rFonts w:ascii="Times New Roman" w:hAnsi="Times New Roman" w:cs="Times New Roman"/>
                <w:sz w:val="16"/>
                <w:szCs w:val="16"/>
                <w:highlight w:val="yellow"/>
                <w:lang w:val="uk-UA"/>
              </w:rPr>
            </w:pPr>
          </w:p>
        </w:tc>
        <w:tc>
          <w:tcPr>
            <w:tcW w:w="1559" w:type="dxa"/>
            <w:vMerge/>
          </w:tcPr>
          <w:p w:rsidR="00D24F14" w:rsidRPr="00DF3C56" w:rsidRDefault="00D24F14" w:rsidP="00D24F14">
            <w:pPr>
              <w:rPr>
                <w:rFonts w:ascii="Times New Roman" w:hAnsi="Times New Roman" w:cs="Times New Roman"/>
                <w:sz w:val="16"/>
                <w:szCs w:val="16"/>
                <w:highlight w:val="yellow"/>
                <w:lang w:val="uk-UA"/>
              </w:rPr>
            </w:pPr>
          </w:p>
        </w:tc>
        <w:tc>
          <w:tcPr>
            <w:tcW w:w="2410" w:type="dxa"/>
            <w:vMerge/>
          </w:tcPr>
          <w:p w:rsidR="00D24F14" w:rsidRPr="00DF3C56" w:rsidRDefault="00D24F14" w:rsidP="00D24F14">
            <w:pPr>
              <w:jc w:val="center"/>
              <w:rPr>
                <w:rFonts w:ascii="Times New Roman" w:hAnsi="Times New Roman" w:cs="Times New Roman"/>
                <w:color w:val="000000" w:themeColor="text1"/>
                <w:sz w:val="16"/>
                <w:szCs w:val="16"/>
                <w:highlight w:val="yellow"/>
                <w:lang w:val="uk-UA"/>
              </w:rPr>
            </w:pPr>
          </w:p>
        </w:tc>
        <w:tc>
          <w:tcPr>
            <w:tcW w:w="1842" w:type="dxa"/>
            <w:vMerge/>
            <w:shd w:val="clear" w:color="auto" w:fill="auto"/>
          </w:tcPr>
          <w:p w:rsidR="00D24F14" w:rsidRPr="00DF3C56" w:rsidRDefault="00D24F14" w:rsidP="00D24F14">
            <w:pPr>
              <w:jc w:val="center"/>
              <w:rPr>
                <w:rFonts w:ascii="Times New Roman" w:hAnsi="Times New Roman" w:cs="Times New Roman"/>
                <w:color w:val="000000" w:themeColor="text1"/>
                <w:sz w:val="16"/>
                <w:szCs w:val="16"/>
                <w:highlight w:val="yellow"/>
                <w:shd w:val="clear" w:color="auto" w:fill="FFFFFF"/>
                <w:lang w:val="uk-UA"/>
              </w:rPr>
            </w:pPr>
          </w:p>
        </w:tc>
        <w:tc>
          <w:tcPr>
            <w:tcW w:w="284" w:type="dxa"/>
            <w:vAlign w:val="center"/>
          </w:tcPr>
          <w:p w:rsidR="00D24F14" w:rsidRPr="00072873" w:rsidRDefault="00D24F14" w:rsidP="00465A60">
            <w:pPr>
              <w:jc w:val="both"/>
              <w:rPr>
                <w:rFonts w:ascii="Times New Roman" w:hAnsi="Times New Roman" w:cs="Times New Roman"/>
                <w:sz w:val="16"/>
                <w:szCs w:val="16"/>
                <w:lang w:val="uk-UA"/>
              </w:rPr>
            </w:pPr>
            <w:r w:rsidRPr="00072873">
              <w:rPr>
                <w:rFonts w:ascii="Times New Roman" w:hAnsi="Times New Roman" w:cs="Times New Roman"/>
                <w:sz w:val="16"/>
                <w:szCs w:val="16"/>
              </w:rPr>
              <w:t>3</w:t>
            </w:r>
          </w:p>
        </w:tc>
        <w:tc>
          <w:tcPr>
            <w:tcW w:w="1276" w:type="dxa"/>
            <w:vAlign w:val="center"/>
          </w:tcPr>
          <w:p w:rsidR="00D24F14" w:rsidRPr="00072873" w:rsidRDefault="00D24F14" w:rsidP="00465A60">
            <w:pPr>
              <w:ind w:right="-108"/>
              <w:rPr>
                <w:rFonts w:ascii="Times New Roman" w:hAnsi="Times New Roman" w:cs="Times New Roman"/>
                <w:sz w:val="16"/>
                <w:szCs w:val="16"/>
              </w:rPr>
            </w:pPr>
            <w:r w:rsidRPr="00072873">
              <w:rPr>
                <w:rFonts w:ascii="Times New Roman" w:hAnsi="Times New Roman" w:cs="Times New Roman"/>
                <w:sz w:val="16"/>
                <w:szCs w:val="16"/>
              </w:rPr>
              <w:t xml:space="preserve">Тариф </w:t>
            </w:r>
            <w:proofErr w:type="spellStart"/>
            <w:r w:rsidRPr="00072873">
              <w:rPr>
                <w:rFonts w:ascii="Times New Roman" w:hAnsi="Times New Roman" w:cs="Times New Roman"/>
                <w:sz w:val="16"/>
                <w:szCs w:val="16"/>
              </w:rPr>
              <w:t>постачальника</w:t>
            </w:r>
            <w:proofErr w:type="spellEnd"/>
          </w:p>
        </w:tc>
        <w:tc>
          <w:tcPr>
            <w:tcW w:w="992" w:type="dxa"/>
            <w:vAlign w:val="center"/>
          </w:tcPr>
          <w:p w:rsidR="00D24F14" w:rsidRPr="00072873" w:rsidRDefault="00D24F14" w:rsidP="00D24F14">
            <w:pPr>
              <w:jc w:val="center"/>
              <w:rPr>
                <w:rFonts w:ascii="Times New Roman" w:hAnsi="Times New Roman" w:cs="Times New Roman"/>
                <w:sz w:val="16"/>
                <w:szCs w:val="16"/>
                <w:lang w:val="uk-UA"/>
              </w:rPr>
            </w:pPr>
            <w:r w:rsidRPr="00072873">
              <w:rPr>
                <w:rFonts w:ascii="Times New Roman" w:hAnsi="Times New Roman" w:cs="Times New Roman"/>
                <w:sz w:val="16"/>
                <w:szCs w:val="16"/>
              </w:rPr>
              <w:t xml:space="preserve">0, </w:t>
            </w:r>
            <w:r w:rsidR="00072873" w:rsidRPr="00072873">
              <w:rPr>
                <w:rFonts w:ascii="Times New Roman" w:hAnsi="Times New Roman" w:cs="Times New Roman"/>
                <w:sz w:val="16"/>
                <w:szCs w:val="16"/>
                <w:lang w:val="uk-UA"/>
              </w:rPr>
              <w:t>63957</w:t>
            </w:r>
          </w:p>
        </w:tc>
        <w:tc>
          <w:tcPr>
            <w:tcW w:w="1219" w:type="dxa"/>
            <w:vAlign w:val="center"/>
          </w:tcPr>
          <w:p w:rsidR="00D24F14" w:rsidRPr="00072873" w:rsidRDefault="00D24F14" w:rsidP="00D24F14">
            <w:pPr>
              <w:jc w:val="center"/>
              <w:rPr>
                <w:rFonts w:ascii="Times New Roman" w:hAnsi="Times New Roman" w:cs="Times New Roman"/>
                <w:sz w:val="16"/>
                <w:szCs w:val="16"/>
              </w:rPr>
            </w:pPr>
            <w:r w:rsidRPr="00072873">
              <w:rPr>
                <w:rFonts w:ascii="Times New Roman" w:hAnsi="Times New Roman" w:cs="Times New Roman"/>
                <w:b/>
                <w:sz w:val="16"/>
                <w:szCs w:val="16"/>
              </w:rPr>
              <w:t>10 %</w:t>
            </w:r>
            <w:r w:rsidRPr="00072873">
              <w:rPr>
                <w:rFonts w:ascii="Times New Roman" w:hAnsi="Times New Roman" w:cs="Times New Roman"/>
                <w:sz w:val="16"/>
                <w:szCs w:val="16"/>
              </w:rPr>
              <w:t xml:space="preserve"> </w:t>
            </w:r>
            <w:proofErr w:type="spellStart"/>
            <w:r w:rsidRPr="00072873">
              <w:rPr>
                <w:rFonts w:ascii="Times New Roman" w:hAnsi="Times New Roman" w:cs="Times New Roman"/>
                <w:sz w:val="16"/>
                <w:szCs w:val="16"/>
              </w:rPr>
              <w:t>від</w:t>
            </w:r>
            <w:proofErr w:type="spellEnd"/>
            <w:r w:rsidRPr="00072873">
              <w:rPr>
                <w:rFonts w:ascii="Times New Roman" w:hAnsi="Times New Roman" w:cs="Times New Roman"/>
                <w:sz w:val="16"/>
                <w:szCs w:val="16"/>
              </w:rPr>
              <w:t xml:space="preserve"> </w:t>
            </w:r>
            <w:proofErr w:type="spellStart"/>
            <w:r w:rsidRPr="00072873">
              <w:rPr>
                <w:rFonts w:ascii="Times New Roman" w:hAnsi="Times New Roman" w:cs="Times New Roman"/>
                <w:sz w:val="16"/>
                <w:szCs w:val="16"/>
              </w:rPr>
              <w:t>ціни</w:t>
            </w:r>
            <w:proofErr w:type="spellEnd"/>
            <w:r w:rsidRPr="00072873">
              <w:rPr>
                <w:rFonts w:ascii="Times New Roman" w:hAnsi="Times New Roman" w:cs="Times New Roman"/>
                <w:sz w:val="16"/>
                <w:szCs w:val="16"/>
              </w:rPr>
              <w:t xml:space="preserve"> в п. 1</w:t>
            </w:r>
          </w:p>
        </w:tc>
      </w:tr>
      <w:tr w:rsidR="00D24F14" w:rsidRPr="00DF3C56" w:rsidTr="00A44854">
        <w:trPr>
          <w:trHeight w:val="500"/>
        </w:trPr>
        <w:tc>
          <w:tcPr>
            <w:tcW w:w="653"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1899"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3119" w:type="dxa"/>
            <w:vMerge/>
          </w:tcPr>
          <w:p w:rsidR="00D24F14" w:rsidRPr="00DF3C56" w:rsidRDefault="00D24F14" w:rsidP="00D24F14">
            <w:pPr>
              <w:jc w:val="both"/>
              <w:rPr>
                <w:rFonts w:ascii="Times New Roman" w:hAnsi="Times New Roman" w:cs="Times New Roman"/>
                <w:sz w:val="16"/>
                <w:szCs w:val="16"/>
                <w:highlight w:val="yellow"/>
                <w:lang w:val="uk-UA"/>
              </w:rPr>
            </w:pPr>
          </w:p>
        </w:tc>
        <w:tc>
          <w:tcPr>
            <w:tcW w:w="1559" w:type="dxa"/>
            <w:vMerge/>
          </w:tcPr>
          <w:p w:rsidR="00D24F14" w:rsidRPr="00DF3C56" w:rsidRDefault="00D24F14" w:rsidP="00D24F14">
            <w:pPr>
              <w:rPr>
                <w:rFonts w:ascii="Times New Roman" w:hAnsi="Times New Roman" w:cs="Times New Roman"/>
                <w:sz w:val="16"/>
                <w:szCs w:val="16"/>
                <w:highlight w:val="yellow"/>
                <w:lang w:val="uk-UA"/>
              </w:rPr>
            </w:pPr>
          </w:p>
        </w:tc>
        <w:tc>
          <w:tcPr>
            <w:tcW w:w="2410" w:type="dxa"/>
            <w:vMerge/>
          </w:tcPr>
          <w:p w:rsidR="00D24F14" w:rsidRPr="00DF3C56" w:rsidRDefault="00D24F14" w:rsidP="00D24F14">
            <w:pPr>
              <w:jc w:val="center"/>
              <w:rPr>
                <w:rFonts w:ascii="Times New Roman" w:hAnsi="Times New Roman" w:cs="Times New Roman"/>
                <w:color w:val="000000" w:themeColor="text1"/>
                <w:sz w:val="16"/>
                <w:szCs w:val="16"/>
                <w:highlight w:val="yellow"/>
                <w:lang w:val="uk-UA"/>
              </w:rPr>
            </w:pPr>
          </w:p>
        </w:tc>
        <w:tc>
          <w:tcPr>
            <w:tcW w:w="1842" w:type="dxa"/>
            <w:vMerge/>
            <w:shd w:val="clear" w:color="auto" w:fill="auto"/>
          </w:tcPr>
          <w:p w:rsidR="00D24F14" w:rsidRPr="00DF3C56" w:rsidRDefault="00D24F14" w:rsidP="00D24F14">
            <w:pPr>
              <w:jc w:val="center"/>
              <w:rPr>
                <w:rFonts w:ascii="Times New Roman" w:hAnsi="Times New Roman" w:cs="Times New Roman"/>
                <w:color w:val="000000" w:themeColor="text1"/>
                <w:sz w:val="16"/>
                <w:szCs w:val="16"/>
                <w:highlight w:val="yellow"/>
                <w:shd w:val="clear" w:color="auto" w:fill="FFFFFF"/>
                <w:lang w:val="uk-UA"/>
              </w:rPr>
            </w:pPr>
          </w:p>
        </w:tc>
        <w:tc>
          <w:tcPr>
            <w:tcW w:w="284" w:type="dxa"/>
            <w:vAlign w:val="center"/>
          </w:tcPr>
          <w:p w:rsidR="00D24F14" w:rsidRPr="00072873" w:rsidRDefault="00D24F14" w:rsidP="00D24F14">
            <w:pPr>
              <w:rPr>
                <w:rFonts w:ascii="Times New Roman" w:hAnsi="Times New Roman" w:cs="Times New Roman"/>
                <w:sz w:val="16"/>
                <w:szCs w:val="16"/>
              </w:rPr>
            </w:pPr>
          </w:p>
        </w:tc>
        <w:tc>
          <w:tcPr>
            <w:tcW w:w="1276" w:type="dxa"/>
            <w:vAlign w:val="center"/>
          </w:tcPr>
          <w:p w:rsidR="00D24F14" w:rsidRPr="00072873" w:rsidRDefault="00D24F14" w:rsidP="00465A60">
            <w:pPr>
              <w:rPr>
                <w:rFonts w:ascii="Times New Roman" w:hAnsi="Times New Roman" w:cs="Times New Roman"/>
                <w:b/>
                <w:sz w:val="16"/>
                <w:szCs w:val="16"/>
              </w:rPr>
            </w:pPr>
            <w:proofErr w:type="spellStart"/>
            <w:r w:rsidRPr="00072873">
              <w:rPr>
                <w:rFonts w:ascii="Times New Roman" w:hAnsi="Times New Roman" w:cs="Times New Roman"/>
                <w:b/>
                <w:sz w:val="16"/>
                <w:szCs w:val="16"/>
              </w:rPr>
              <w:t>Всього</w:t>
            </w:r>
            <w:proofErr w:type="spellEnd"/>
            <w:r w:rsidRPr="00072873">
              <w:rPr>
                <w:rFonts w:ascii="Times New Roman" w:hAnsi="Times New Roman" w:cs="Times New Roman"/>
                <w:b/>
                <w:sz w:val="16"/>
                <w:szCs w:val="16"/>
              </w:rPr>
              <w:t xml:space="preserve"> без ПДВ:</w:t>
            </w:r>
          </w:p>
        </w:tc>
        <w:tc>
          <w:tcPr>
            <w:tcW w:w="992" w:type="dxa"/>
            <w:vAlign w:val="center"/>
          </w:tcPr>
          <w:p w:rsidR="00D24F14" w:rsidRPr="00072873" w:rsidRDefault="00072873" w:rsidP="00D24F14">
            <w:pPr>
              <w:jc w:val="center"/>
              <w:rPr>
                <w:rFonts w:ascii="Times New Roman" w:hAnsi="Times New Roman" w:cs="Times New Roman"/>
                <w:sz w:val="16"/>
                <w:szCs w:val="16"/>
                <w:lang w:val="uk-UA"/>
              </w:rPr>
            </w:pPr>
            <w:r w:rsidRPr="00072873">
              <w:rPr>
                <w:rFonts w:ascii="Times New Roman" w:hAnsi="Times New Roman" w:cs="Times New Roman"/>
                <w:sz w:val="16"/>
                <w:szCs w:val="16"/>
                <w:lang w:val="uk-UA"/>
              </w:rPr>
              <w:t>7,7215</w:t>
            </w:r>
          </w:p>
        </w:tc>
        <w:tc>
          <w:tcPr>
            <w:tcW w:w="1219" w:type="dxa"/>
            <w:vAlign w:val="center"/>
          </w:tcPr>
          <w:p w:rsidR="00D24F14" w:rsidRPr="00072873" w:rsidRDefault="00D24F14" w:rsidP="00D24F14">
            <w:pPr>
              <w:jc w:val="center"/>
              <w:rPr>
                <w:rFonts w:ascii="Times New Roman" w:hAnsi="Times New Roman" w:cs="Times New Roman"/>
                <w:sz w:val="16"/>
                <w:szCs w:val="16"/>
              </w:rPr>
            </w:pPr>
            <w:r w:rsidRPr="00072873">
              <w:rPr>
                <w:rFonts w:ascii="Times New Roman" w:hAnsi="Times New Roman" w:cs="Times New Roman"/>
                <w:sz w:val="16"/>
                <w:szCs w:val="16"/>
              </w:rPr>
              <w:t xml:space="preserve">Сума </w:t>
            </w:r>
            <w:proofErr w:type="spellStart"/>
            <w:r w:rsidRPr="00072873">
              <w:rPr>
                <w:rFonts w:ascii="Times New Roman" w:hAnsi="Times New Roman" w:cs="Times New Roman"/>
                <w:sz w:val="16"/>
                <w:szCs w:val="16"/>
              </w:rPr>
              <w:t>пунктів</w:t>
            </w:r>
            <w:proofErr w:type="spellEnd"/>
            <w:r w:rsidRPr="00072873">
              <w:rPr>
                <w:rFonts w:ascii="Times New Roman" w:hAnsi="Times New Roman" w:cs="Times New Roman"/>
                <w:sz w:val="16"/>
                <w:szCs w:val="16"/>
              </w:rPr>
              <w:t xml:space="preserve"> 1, 2, 3</w:t>
            </w:r>
          </w:p>
        </w:tc>
      </w:tr>
      <w:tr w:rsidR="00D24F14" w:rsidRPr="00DF3C56" w:rsidTr="00A44854">
        <w:trPr>
          <w:trHeight w:val="500"/>
        </w:trPr>
        <w:tc>
          <w:tcPr>
            <w:tcW w:w="653"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1899"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3119" w:type="dxa"/>
            <w:vMerge/>
          </w:tcPr>
          <w:p w:rsidR="00D24F14" w:rsidRPr="00DF3C56" w:rsidRDefault="00D24F14" w:rsidP="00D24F14">
            <w:pPr>
              <w:jc w:val="both"/>
              <w:rPr>
                <w:rFonts w:ascii="Times New Roman" w:hAnsi="Times New Roman" w:cs="Times New Roman"/>
                <w:sz w:val="16"/>
                <w:szCs w:val="16"/>
                <w:highlight w:val="yellow"/>
                <w:lang w:val="uk-UA"/>
              </w:rPr>
            </w:pPr>
          </w:p>
        </w:tc>
        <w:tc>
          <w:tcPr>
            <w:tcW w:w="1559" w:type="dxa"/>
            <w:vMerge/>
          </w:tcPr>
          <w:p w:rsidR="00D24F14" w:rsidRPr="00DF3C56" w:rsidRDefault="00D24F14" w:rsidP="00D24F14">
            <w:pPr>
              <w:rPr>
                <w:rFonts w:ascii="Times New Roman" w:hAnsi="Times New Roman" w:cs="Times New Roman"/>
                <w:sz w:val="16"/>
                <w:szCs w:val="16"/>
                <w:highlight w:val="yellow"/>
                <w:lang w:val="uk-UA"/>
              </w:rPr>
            </w:pPr>
          </w:p>
        </w:tc>
        <w:tc>
          <w:tcPr>
            <w:tcW w:w="2410" w:type="dxa"/>
            <w:vMerge/>
          </w:tcPr>
          <w:p w:rsidR="00D24F14" w:rsidRPr="00DF3C56" w:rsidRDefault="00D24F14" w:rsidP="00D24F14">
            <w:pPr>
              <w:jc w:val="center"/>
              <w:rPr>
                <w:rFonts w:ascii="Times New Roman" w:hAnsi="Times New Roman" w:cs="Times New Roman"/>
                <w:color w:val="000000" w:themeColor="text1"/>
                <w:sz w:val="16"/>
                <w:szCs w:val="16"/>
                <w:highlight w:val="yellow"/>
                <w:lang w:val="uk-UA"/>
              </w:rPr>
            </w:pPr>
          </w:p>
        </w:tc>
        <w:tc>
          <w:tcPr>
            <w:tcW w:w="1842" w:type="dxa"/>
            <w:vMerge/>
            <w:shd w:val="clear" w:color="auto" w:fill="auto"/>
          </w:tcPr>
          <w:p w:rsidR="00D24F14" w:rsidRPr="00DF3C56" w:rsidRDefault="00D24F14" w:rsidP="00D24F14">
            <w:pPr>
              <w:jc w:val="center"/>
              <w:rPr>
                <w:rFonts w:ascii="Times New Roman" w:hAnsi="Times New Roman" w:cs="Times New Roman"/>
                <w:color w:val="000000" w:themeColor="text1"/>
                <w:sz w:val="16"/>
                <w:szCs w:val="16"/>
                <w:highlight w:val="yellow"/>
                <w:shd w:val="clear" w:color="auto" w:fill="FFFFFF"/>
                <w:lang w:val="uk-UA"/>
              </w:rPr>
            </w:pPr>
          </w:p>
        </w:tc>
        <w:tc>
          <w:tcPr>
            <w:tcW w:w="284" w:type="dxa"/>
            <w:vAlign w:val="center"/>
          </w:tcPr>
          <w:p w:rsidR="00D24F14" w:rsidRPr="00072873" w:rsidRDefault="00D24F14" w:rsidP="00D24F14">
            <w:pPr>
              <w:rPr>
                <w:rFonts w:ascii="Times New Roman" w:hAnsi="Times New Roman" w:cs="Times New Roman"/>
                <w:sz w:val="16"/>
                <w:szCs w:val="16"/>
              </w:rPr>
            </w:pPr>
          </w:p>
        </w:tc>
        <w:tc>
          <w:tcPr>
            <w:tcW w:w="1276" w:type="dxa"/>
            <w:vAlign w:val="center"/>
          </w:tcPr>
          <w:p w:rsidR="00D24F14" w:rsidRPr="00072873" w:rsidRDefault="00D24F14" w:rsidP="00465A60">
            <w:pPr>
              <w:rPr>
                <w:rFonts w:ascii="Times New Roman" w:hAnsi="Times New Roman" w:cs="Times New Roman"/>
                <w:b/>
                <w:sz w:val="16"/>
                <w:szCs w:val="16"/>
              </w:rPr>
            </w:pPr>
            <w:proofErr w:type="spellStart"/>
            <w:r w:rsidRPr="00072873">
              <w:rPr>
                <w:rFonts w:ascii="Times New Roman" w:hAnsi="Times New Roman" w:cs="Times New Roman"/>
                <w:b/>
                <w:sz w:val="16"/>
                <w:szCs w:val="16"/>
              </w:rPr>
              <w:t>Всього</w:t>
            </w:r>
            <w:proofErr w:type="spellEnd"/>
            <w:r w:rsidRPr="00072873">
              <w:rPr>
                <w:rFonts w:ascii="Times New Roman" w:hAnsi="Times New Roman" w:cs="Times New Roman"/>
                <w:b/>
                <w:sz w:val="16"/>
                <w:szCs w:val="16"/>
              </w:rPr>
              <w:t xml:space="preserve"> </w:t>
            </w:r>
            <w:proofErr w:type="spellStart"/>
            <w:r w:rsidRPr="00072873">
              <w:rPr>
                <w:rFonts w:ascii="Times New Roman" w:hAnsi="Times New Roman" w:cs="Times New Roman"/>
                <w:b/>
                <w:sz w:val="16"/>
                <w:szCs w:val="16"/>
              </w:rPr>
              <w:t>з</w:t>
            </w:r>
            <w:proofErr w:type="spellEnd"/>
            <w:r w:rsidRPr="00072873">
              <w:rPr>
                <w:rFonts w:ascii="Times New Roman" w:hAnsi="Times New Roman" w:cs="Times New Roman"/>
                <w:b/>
                <w:sz w:val="16"/>
                <w:szCs w:val="16"/>
              </w:rPr>
              <w:t xml:space="preserve"> ПДВ:</w:t>
            </w:r>
          </w:p>
        </w:tc>
        <w:tc>
          <w:tcPr>
            <w:tcW w:w="992" w:type="dxa"/>
            <w:vAlign w:val="center"/>
          </w:tcPr>
          <w:p w:rsidR="00D24F14" w:rsidRPr="00072873" w:rsidRDefault="00072873" w:rsidP="00D24F14">
            <w:pPr>
              <w:jc w:val="center"/>
              <w:rPr>
                <w:rFonts w:ascii="Times New Roman" w:hAnsi="Times New Roman" w:cs="Times New Roman"/>
                <w:sz w:val="16"/>
                <w:szCs w:val="16"/>
                <w:lang w:val="uk-UA"/>
              </w:rPr>
            </w:pPr>
            <w:r w:rsidRPr="00072873">
              <w:rPr>
                <w:rFonts w:ascii="Times New Roman" w:hAnsi="Times New Roman" w:cs="Times New Roman"/>
                <w:sz w:val="16"/>
                <w:szCs w:val="16"/>
                <w:lang w:val="uk-UA"/>
              </w:rPr>
              <w:t>9,2658</w:t>
            </w:r>
          </w:p>
        </w:tc>
        <w:tc>
          <w:tcPr>
            <w:tcW w:w="1219" w:type="dxa"/>
            <w:vAlign w:val="center"/>
          </w:tcPr>
          <w:p w:rsidR="00D24F14" w:rsidRPr="00072873" w:rsidRDefault="00D24F14" w:rsidP="00D24F14">
            <w:pPr>
              <w:jc w:val="center"/>
              <w:rPr>
                <w:rFonts w:ascii="Times New Roman" w:hAnsi="Times New Roman" w:cs="Times New Roman"/>
                <w:sz w:val="16"/>
                <w:szCs w:val="16"/>
              </w:rPr>
            </w:pPr>
            <w:r w:rsidRPr="00072873">
              <w:rPr>
                <w:rFonts w:ascii="Times New Roman" w:hAnsi="Times New Roman" w:cs="Times New Roman"/>
                <w:sz w:val="16"/>
                <w:szCs w:val="16"/>
              </w:rPr>
              <w:t>пункт 4*1,2</w:t>
            </w:r>
          </w:p>
        </w:tc>
      </w:tr>
      <w:tr w:rsidR="00D24F14" w:rsidRPr="00DF3C56" w:rsidTr="00A44854">
        <w:trPr>
          <w:trHeight w:val="500"/>
        </w:trPr>
        <w:tc>
          <w:tcPr>
            <w:tcW w:w="653"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1899" w:type="dxa"/>
            <w:vMerge/>
          </w:tcPr>
          <w:p w:rsidR="00D24F14" w:rsidRPr="00DF3C56" w:rsidRDefault="00D24F14" w:rsidP="00D24F14">
            <w:pPr>
              <w:jc w:val="center"/>
              <w:rPr>
                <w:rFonts w:ascii="Times New Roman" w:hAnsi="Times New Roman" w:cs="Times New Roman"/>
                <w:sz w:val="16"/>
                <w:szCs w:val="16"/>
                <w:highlight w:val="yellow"/>
                <w:lang w:val="uk-UA"/>
              </w:rPr>
            </w:pPr>
          </w:p>
        </w:tc>
        <w:tc>
          <w:tcPr>
            <w:tcW w:w="3119" w:type="dxa"/>
            <w:vMerge/>
          </w:tcPr>
          <w:p w:rsidR="00D24F14" w:rsidRPr="00DF3C56" w:rsidRDefault="00D24F14" w:rsidP="00D24F14">
            <w:pPr>
              <w:jc w:val="both"/>
              <w:rPr>
                <w:rFonts w:ascii="Times New Roman" w:hAnsi="Times New Roman" w:cs="Times New Roman"/>
                <w:sz w:val="16"/>
                <w:szCs w:val="16"/>
                <w:highlight w:val="yellow"/>
                <w:lang w:val="uk-UA"/>
              </w:rPr>
            </w:pPr>
          </w:p>
        </w:tc>
        <w:tc>
          <w:tcPr>
            <w:tcW w:w="1559" w:type="dxa"/>
            <w:vMerge/>
          </w:tcPr>
          <w:p w:rsidR="00D24F14" w:rsidRPr="00DF3C56" w:rsidRDefault="00D24F14" w:rsidP="00D24F14">
            <w:pPr>
              <w:rPr>
                <w:rFonts w:ascii="Times New Roman" w:hAnsi="Times New Roman" w:cs="Times New Roman"/>
                <w:sz w:val="16"/>
                <w:szCs w:val="16"/>
                <w:highlight w:val="yellow"/>
                <w:lang w:val="uk-UA"/>
              </w:rPr>
            </w:pPr>
          </w:p>
        </w:tc>
        <w:tc>
          <w:tcPr>
            <w:tcW w:w="2410" w:type="dxa"/>
            <w:vMerge/>
          </w:tcPr>
          <w:p w:rsidR="00D24F14" w:rsidRPr="00DF3C56" w:rsidRDefault="00D24F14" w:rsidP="00D24F14">
            <w:pPr>
              <w:jc w:val="center"/>
              <w:rPr>
                <w:rFonts w:ascii="Times New Roman" w:hAnsi="Times New Roman" w:cs="Times New Roman"/>
                <w:color w:val="000000" w:themeColor="text1"/>
                <w:sz w:val="16"/>
                <w:szCs w:val="16"/>
                <w:highlight w:val="yellow"/>
                <w:lang w:val="uk-UA"/>
              </w:rPr>
            </w:pPr>
          </w:p>
        </w:tc>
        <w:tc>
          <w:tcPr>
            <w:tcW w:w="1842" w:type="dxa"/>
            <w:vMerge/>
            <w:shd w:val="clear" w:color="auto" w:fill="auto"/>
          </w:tcPr>
          <w:p w:rsidR="00D24F14" w:rsidRPr="00DF3C56" w:rsidRDefault="00D24F14" w:rsidP="00D24F14">
            <w:pPr>
              <w:jc w:val="center"/>
              <w:rPr>
                <w:rFonts w:ascii="Times New Roman" w:hAnsi="Times New Roman" w:cs="Times New Roman"/>
                <w:color w:val="000000" w:themeColor="text1"/>
                <w:sz w:val="16"/>
                <w:szCs w:val="16"/>
                <w:highlight w:val="yellow"/>
                <w:shd w:val="clear" w:color="auto" w:fill="FFFFFF"/>
                <w:lang w:val="uk-UA"/>
              </w:rPr>
            </w:pPr>
          </w:p>
        </w:tc>
        <w:tc>
          <w:tcPr>
            <w:tcW w:w="284" w:type="dxa"/>
            <w:vAlign w:val="center"/>
          </w:tcPr>
          <w:p w:rsidR="00D24F14" w:rsidRPr="00072873" w:rsidRDefault="00D24F14" w:rsidP="00D24F14">
            <w:pPr>
              <w:rPr>
                <w:rFonts w:ascii="Times New Roman" w:hAnsi="Times New Roman" w:cs="Times New Roman"/>
                <w:sz w:val="16"/>
                <w:szCs w:val="16"/>
              </w:rPr>
            </w:pPr>
          </w:p>
        </w:tc>
        <w:tc>
          <w:tcPr>
            <w:tcW w:w="1276" w:type="dxa"/>
            <w:vAlign w:val="center"/>
          </w:tcPr>
          <w:p w:rsidR="00D24F14" w:rsidRPr="00072873" w:rsidRDefault="00D24F14" w:rsidP="00465A60">
            <w:pPr>
              <w:rPr>
                <w:rFonts w:ascii="Times New Roman" w:hAnsi="Times New Roman" w:cs="Times New Roman"/>
                <w:b/>
                <w:sz w:val="16"/>
                <w:szCs w:val="16"/>
              </w:rPr>
            </w:pPr>
            <w:proofErr w:type="gramStart"/>
            <w:r w:rsidRPr="00072873">
              <w:rPr>
                <w:rFonts w:ascii="Times New Roman" w:hAnsi="Times New Roman" w:cs="Times New Roman"/>
                <w:b/>
                <w:sz w:val="16"/>
                <w:szCs w:val="16"/>
              </w:rPr>
              <w:t>З</w:t>
            </w:r>
            <w:proofErr w:type="gramEnd"/>
            <w:r w:rsidRPr="00072873">
              <w:rPr>
                <w:rFonts w:ascii="Times New Roman" w:hAnsi="Times New Roman" w:cs="Times New Roman"/>
                <w:b/>
                <w:sz w:val="16"/>
                <w:szCs w:val="16"/>
              </w:rPr>
              <w:t xml:space="preserve"> </w:t>
            </w:r>
            <w:proofErr w:type="spellStart"/>
            <w:r w:rsidRPr="00072873">
              <w:rPr>
                <w:rFonts w:ascii="Times New Roman" w:hAnsi="Times New Roman" w:cs="Times New Roman"/>
                <w:b/>
                <w:sz w:val="16"/>
                <w:szCs w:val="16"/>
              </w:rPr>
              <w:t>урахуванням</w:t>
            </w:r>
            <w:proofErr w:type="spellEnd"/>
            <w:r w:rsidRPr="00072873">
              <w:rPr>
                <w:rFonts w:ascii="Times New Roman" w:hAnsi="Times New Roman" w:cs="Times New Roman"/>
                <w:b/>
                <w:sz w:val="16"/>
                <w:szCs w:val="16"/>
              </w:rPr>
              <w:t xml:space="preserve"> </w:t>
            </w:r>
            <w:proofErr w:type="spellStart"/>
            <w:r w:rsidRPr="00072873">
              <w:rPr>
                <w:rFonts w:ascii="Times New Roman" w:hAnsi="Times New Roman" w:cs="Times New Roman"/>
                <w:b/>
                <w:sz w:val="16"/>
                <w:szCs w:val="16"/>
              </w:rPr>
              <w:t>округлення</w:t>
            </w:r>
            <w:proofErr w:type="spellEnd"/>
            <w:r w:rsidRPr="00072873">
              <w:rPr>
                <w:rFonts w:ascii="Times New Roman" w:hAnsi="Times New Roman" w:cs="Times New Roman"/>
                <w:b/>
                <w:sz w:val="16"/>
                <w:szCs w:val="16"/>
              </w:rPr>
              <w:t>:</w:t>
            </w:r>
          </w:p>
        </w:tc>
        <w:tc>
          <w:tcPr>
            <w:tcW w:w="992" w:type="dxa"/>
            <w:vAlign w:val="center"/>
          </w:tcPr>
          <w:p w:rsidR="00D24F14" w:rsidRPr="00072873" w:rsidRDefault="00072873" w:rsidP="00D24F14">
            <w:pPr>
              <w:jc w:val="center"/>
              <w:rPr>
                <w:rFonts w:ascii="Times New Roman" w:hAnsi="Times New Roman" w:cs="Times New Roman"/>
                <w:b/>
                <w:sz w:val="16"/>
                <w:szCs w:val="16"/>
                <w:lang w:val="uk-UA"/>
              </w:rPr>
            </w:pPr>
            <w:r w:rsidRPr="00072873">
              <w:rPr>
                <w:rFonts w:ascii="Times New Roman" w:hAnsi="Times New Roman" w:cs="Times New Roman"/>
                <w:b/>
                <w:sz w:val="16"/>
                <w:szCs w:val="16"/>
                <w:lang w:val="uk-UA"/>
              </w:rPr>
              <w:t>9,27</w:t>
            </w:r>
          </w:p>
        </w:tc>
        <w:tc>
          <w:tcPr>
            <w:tcW w:w="1219" w:type="dxa"/>
            <w:vAlign w:val="center"/>
          </w:tcPr>
          <w:p w:rsidR="00D24F14" w:rsidRPr="00072873" w:rsidRDefault="00D24F14" w:rsidP="00D24F14">
            <w:pPr>
              <w:jc w:val="center"/>
              <w:rPr>
                <w:rFonts w:ascii="Times New Roman" w:hAnsi="Times New Roman" w:cs="Times New Roman"/>
                <w:sz w:val="16"/>
                <w:szCs w:val="16"/>
              </w:rPr>
            </w:pPr>
          </w:p>
        </w:tc>
      </w:tr>
      <w:tr w:rsidR="00465A60" w:rsidRPr="00DF3C56" w:rsidTr="00971E45">
        <w:trPr>
          <w:trHeight w:val="659"/>
        </w:trPr>
        <w:tc>
          <w:tcPr>
            <w:tcW w:w="653" w:type="dxa"/>
            <w:vMerge/>
          </w:tcPr>
          <w:p w:rsidR="00465A60" w:rsidRPr="00DF3C56" w:rsidRDefault="00465A60" w:rsidP="004C19E5">
            <w:pPr>
              <w:jc w:val="center"/>
              <w:rPr>
                <w:rFonts w:ascii="Times New Roman" w:hAnsi="Times New Roman" w:cs="Times New Roman"/>
                <w:sz w:val="16"/>
                <w:szCs w:val="16"/>
                <w:highlight w:val="yellow"/>
                <w:lang w:val="uk-UA"/>
              </w:rPr>
            </w:pPr>
          </w:p>
        </w:tc>
        <w:tc>
          <w:tcPr>
            <w:tcW w:w="1899" w:type="dxa"/>
            <w:vMerge/>
          </w:tcPr>
          <w:p w:rsidR="00465A60" w:rsidRPr="00DF3C56" w:rsidRDefault="00465A60" w:rsidP="003B4031">
            <w:pPr>
              <w:jc w:val="center"/>
              <w:rPr>
                <w:rFonts w:ascii="Times New Roman" w:hAnsi="Times New Roman" w:cs="Times New Roman"/>
                <w:sz w:val="16"/>
                <w:szCs w:val="16"/>
                <w:highlight w:val="yellow"/>
                <w:lang w:val="uk-UA"/>
              </w:rPr>
            </w:pPr>
          </w:p>
        </w:tc>
        <w:tc>
          <w:tcPr>
            <w:tcW w:w="3119" w:type="dxa"/>
            <w:vMerge/>
          </w:tcPr>
          <w:p w:rsidR="00465A60" w:rsidRPr="00DF3C56" w:rsidRDefault="00465A60" w:rsidP="0099614C">
            <w:pPr>
              <w:jc w:val="both"/>
              <w:rPr>
                <w:rFonts w:ascii="Times New Roman" w:hAnsi="Times New Roman" w:cs="Times New Roman"/>
                <w:sz w:val="16"/>
                <w:szCs w:val="16"/>
                <w:highlight w:val="yellow"/>
                <w:lang w:val="uk-UA"/>
              </w:rPr>
            </w:pPr>
          </w:p>
        </w:tc>
        <w:tc>
          <w:tcPr>
            <w:tcW w:w="1559" w:type="dxa"/>
            <w:vMerge/>
          </w:tcPr>
          <w:p w:rsidR="00465A60" w:rsidRPr="00DF3C56" w:rsidRDefault="00465A60" w:rsidP="000D61BD">
            <w:pPr>
              <w:rPr>
                <w:rFonts w:ascii="Times New Roman" w:hAnsi="Times New Roman" w:cs="Times New Roman"/>
                <w:sz w:val="16"/>
                <w:szCs w:val="16"/>
                <w:highlight w:val="yellow"/>
                <w:lang w:val="uk-UA"/>
              </w:rPr>
            </w:pPr>
          </w:p>
        </w:tc>
        <w:tc>
          <w:tcPr>
            <w:tcW w:w="2410" w:type="dxa"/>
            <w:vMerge/>
          </w:tcPr>
          <w:p w:rsidR="00465A60" w:rsidRPr="00DF3C56" w:rsidRDefault="00465A60" w:rsidP="0099614C">
            <w:pPr>
              <w:jc w:val="center"/>
              <w:rPr>
                <w:rFonts w:ascii="Times New Roman" w:hAnsi="Times New Roman" w:cs="Times New Roman"/>
                <w:color w:val="000000" w:themeColor="text1"/>
                <w:sz w:val="16"/>
                <w:szCs w:val="16"/>
                <w:highlight w:val="yellow"/>
                <w:lang w:val="uk-UA"/>
              </w:rPr>
            </w:pPr>
          </w:p>
        </w:tc>
        <w:tc>
          <w:tcPr>
            <w:tcW w:w="1842" w:type="dxa"/>
            <w:vMerge/>
            <w:shd w:val="clear" w:color="auto" w:fill="auto"/>
          </w:tcPr>
          <w:p w:rsidR="00465A60" w:rsidRPr="00DF3C56" w:rsidRDefault="00465A60" w:rsidP="0099614C">
            <w:pPr>
              <w:jc w:val="center"/>
              <w:rPr>
                <w:rFonts w:ascii="Times New Roman" w:hAnsi="Times New Roman" w:cs="Times New Roman"/>
                <w:color w:val="000000" w:themeColor="text1"/>
                <w:sz w:val="16"/>
                <w:szCs w:val="16"/>
                <w:highlight w:val="yellow"/>
                <w:shd w:val="clear" w:color="auto" w:fill="FFFFFF"/>
                <w:lang w:val="uk-UA"/>
              </w:rPr>
            </w:pPr>
          </w:p>
        </w:tc>
        <w:tc>
          <w:tcPr>
            <w:tcW w:w="3771" w:type="dxa"/>
            <w:gridSpan w:val="4"/>
          </w:tcPr>
          <w:p w:rsidR="00465A60" w:rsidRPr="00721579" w:rsidRDefault="00465A60" w:rsidP="00465A60">
            <w:pPr>
              <w:pStyle w:val="ae"/>
              <w:spacing w:before="0" w:beforeAutospacing="0" w:after="0" w:afterAutospacing="0" w:line="240" w:lineRule="atLeast"/>
              <w:ind w:left="34"/>
              <w:jc w:val="both"/>
              <w:rPr>
                <w:color w:val="000000"/>
                <w:sz w:val="18"/>
                <w:szCs w:val="18"/>
                <w:lang w:val="uk-UA"/>
              </w:rPr>
            </w:pPr>
            <w:proofErr w:type="spellStart"/>
            <w:r w:rsidRPr="00721579">
              <w:rPr>
                <w:color w:val="000000"/>
                <w:sz w:val="18"/>
                <w:szCs w:val="18"/>
              </w:rPr>
              <w:t>Кількість</w:t>
            </w:r>
            <w:proofErr w:type="spellEnd"/>
            <w:r w:rsidRPr="00721579">
              <w:rPr>
                <w:color w:val="000000"/>
                <w:sz w:val="18"/>
                <w:szCs w:val="18"/>
              </w:rPr>
              <w:t xml:space="preserve"> –</w:t>
            </w:r>
            <w:r w:rsidRPr="00721579">
              <w:rPr>
                <w:b/>
                <w:color w:val="000000"/>
                <w:sz w:val="18"/>
                <w:szCs w:val="18"/>
              </w:rPr>
              <w:t xml:space="preserve"> </w:t>
            </w:r>
            <w:r w:rsidRPr="00721579">
              <w:rPr>
                <w:b/>
                <w:sz w:val="18"/>
                <w:szCs w:val="18"/>
                <w:u w:val="single"/>
              </w:rPr>
              <w:t xml:space="preserve">  54000</w:t>
            </w:r>
            <w:r w:rsidRPr="00721579">
              <w:rPr>
                <w:b/>
                <w:color w:val="000000"/>
                <w:sz w:val="18"/>
                <w:szCs w:val="18"/>
                <w:lang w:val="uk-UA"/>
              </w:rPr>
              <w:t xml:space="preserve"> </w:t>
            </w:r>
            <w:r w:rsidRPr="00721579">
              <w:rPr>
                <w:color w:val="000000"/>
                <w:sz w:val="18"/>
                <w:szCs w:val="18"/>
              </w:rPr>
              <w:t>кВт</w:t>
            </w:r>
            <w:r w:rsidRPr="00721579">
              <w:rPr>
                <w:color w:val="000000"/>
                <w:sz w:val="18"/>
                <w:szCs w:val="18"/>
                <w:lang w:val="uk-UA"/>
              </w:rPr>
              <w:t>/</w:t>
            </w:r>
            <w:proofErr w:type="spellStart"/>
            <w:r w:rsidRPr="00721579">
              <w:rPr>
                <w:color w:val="000000"/>
                <w:sz w:val="18"/>
                <w:szCs w:val="18"/>
                <w:lang w:val="uk-UA"/>
              </w:rPr>
              <w:t>год</w:t>
            </w:r>
            <w:proofErr w:type="spellEnd"/>
          </w:p>
          <w:p w:rsidR="00465A60" w:rsidRPr="00DF3C56" w:rsidRDefault="00465A60" w:rsidP="00465A60">
            <w:pPr>
              <w:tabs>
                <w:tab w:val="left" w:pos="567"/>
              </w:tabs>
              <w:spacing w:line="240" w:lineRule="atLeast"/>
              <w:ind w:left="34"/>
              <w:jc w:val="both"/>
              <w:rPr>
                <w:highlight w:val="yellow"/>
                <w:lang w:val="uk-UA"/>
              </w:rPr>
            </w:pPr>
            <w:r w:rsidRPr="00721579">
              <w:rPr>
                <w:rFonts w:ascii="Times New Roman" w:hAnsi="Times New Roman" w:cs="Times New Roman"/>
                <w:b/>
                <w:sz w:val="18"/>
                <w:szCs w:val="18"/>
                <w:u w:val="single"/>
              </w:rPr>
              <w:t xml:space="preserve">  54000</w:t>
            </w:r>
            <w:r w:rsidRPr="00721579">
              <w:rPr>
                <w:rFonts w:ascii="Times New Roman" w:hAnsi="Times New Roman" w:cs="Times New Roman"/>
                <w:sz w:val="18"/>
                <w:szCs w:val="18"/>
                <w:u w:val="single"/>
                <w:lang w:val="uk-UA"/>
              </w:rPr>
              <w:t xml:space="preserve">  </w:t>
            </w:r>
            <w:r w:rsidRPr="00721579">
              <w:rPr>
                <w:rFonts w:ascii="Times New Roman" w:hAnsi="Times New Roman" w:cs="Times New Roman"/>
                <w:color w:val="000000"/>
                <w:sz w:val="18"/>
                <w:szCs w:val="18"/>
              </w:rPr>
              <w:t xml:space="preserve"> кВт</w:t>
            </w:r>
            <w:r w:rsidRPr="00721579">
              <w:rPr>
                <w:rFonts w:ascii="Times New Roman" w:hAnsi="Times New Roman" w:cs="Times New Roman"/>
                <w:color w:val="000000"/>
                <w:sz w:val="18"/>
                <w:szCs w:val="18"/>
                <w:lang w:val="uk-UA"/>
              </w:rPr>
              <w:t>/</w:t>
            </w:r>
            <w:proofErr w:type="spellStart"/>
            <w:r w:rsidRPr="00721579">
              <w:rPr>
                <w:rFonts w:ascii="Times New Roman" w:hAnsi="Times New Roman" w:cs="Times New Roman"/>
                <w:color w:val="000000"/>
                <w:sz w:val="18"/>
                <w:szCs w:val="18"/>
                <w:lang w:val="uk-UA"/>
              </w:rPr>
              <w:t>год</w:t>
            </w:r>
            <w:proofErr w:type="spellEnd"/>
            <w:r w:rsidRPr="00721579">
              <w:rPr>
                <w:rFonts w:ascii="Times New Roman" w:hAnsi="Times New Roman" w:cs="Times New Roman"/>
                <w:color w:val="000000"/>
                <w:sz w:val="18"/>
                <w:szCs w:val="18"/>
              </w:rPr>
              <w:t xml:space="preserve">* </w:t>
            </w:r>
            <w:r w:rsidR="00072873" w:rsidRPr="00721579">
              <w:rPr>
                <w:rFonts w:ascii="Times New Roman" w:hAnsi="Times New Roman" w:cs="Times New Roman"/>
                <w:b/>
                <w:color w:val="000000"/>
                <w:sz w:val="18"/>
                <w:szCs w:val="18"/>
                <w:lang w:val="uk-UA"/>
              </w:rPr>
              <w:t>9,27</w:t>
            </w:r>
            <w:r w:rsidRPr="00721579">
              <w:rPr>
                <w:rFonts w:ascii="Times New Roman" w:hAnsi="Times New Roman" w:cs="Times New Roman"/>
                <w:color w:val="000000"/>
                <w:sz w:val="18"/>
                <w:szCs w:val="18"/>
              </w:rPr>
              <w:t xml:space="preserve"> </w:t>
            </w:r>
            <w:proofErr w:type="spellStart"/>
            <w:r w:rsidRPr="00721579">
              <w:rPr>
                <w:rFonts w:ascii="Times New Roman" w:hAnsi="Times New Roman" w:cs="Times New Roman"/>
                <w:color w:val="000000"/>
                <w:sz w:val="18"/>
                <w:szCs w:val="18"/>
              </w:rPr>
              <w:t>грн</w:t>
            </w:r>
            <w:proofErr w:type="spellEnd"/>
            <w:r w:rsidRPr="00721579">
              <w:rPr>
                <w:rFonts w:ascii="Times New Roman" w:hAnsi="Times New Roman" w:cs="Times New Roman"/>
                <w:color w:val="000000"/>
                <w:sz w:val="18"/>
                <w:szCs w:val="18"/>
              </w:rPr>
              <w:t xml:space="preserve"> =</w:t>
            </w:r>
            <w:r w:rsidRPr="00721579">
              <w:rPr>
                <w:rFonts w:ascii="Times New Roman" w:hAnsi="Times New Roman" w:cs="Times New Roman"/>
                <w:color w:val="000000"/>
                <w:sz w:val="18"/>
                <w:szCs w:val="18"/>
                <w:lang w:val="uk-UA"/>
              </w:rPr>
              <w:t xml:space="preserve"> </w:t>
            </w:r>
            <w:r w:rsidR="00072873" w:rsidRPr="00721579">
              <w:rPr>
                <w:rFonts w:ascii="Times New Roman" w:hAnsi="Times New Roman" w:cs="Times New Roman"/>
                <w:b/>
                <w:color w:val="000000"/>
                <w:sz w:val="18"/>
                <w:szCs w:val="18"/>
                <w:lang w:val="uk-UA"/>
              </w:rPr>
              <w:t>500 580</w:t>
            </w:r>
            <w:r w:rsidRPr="00721579">
              <w:rPr>
                <w:rFonts w:ascii="Times New Roman" w:hAnsi="Times New Roman" w:cs="Times New Roman"/>
                <w:b/>
                <w:color w:val="000000"/>
                <w:sz w:val="18"/>
                <w:szCs w:val="18"/>
                <w:lang w:val="uk-UA"/>
              </w:rPr>
              <w:t>,00</w:t>
            </w:r>
            <w:r w:rsidRPr="00721579">
              <w:rPr>
                <w:rFonts w:ascii="Times New Roman" w:hAnsi="Times New Roman" w:cs="Times New Roman"/>
                <w:color w:val="000000"/>
                <w:sz w:val="18"/>
                <w:szCs w:val="18"/>
              </w:rPr>
              <w:t xml:space="preserve"> </w:t>
            </w:r>
            <w:proofErr w:type="spellStart"/>
            <w:r w:rsidRPr="00721579">
              <w:rPr>
                <w:rFonts w:ascii="Times New Roman" w:hAnsi="Times New Roman" w:cs="Times New Roman"/>
                <w:color w:val="000000"/>
                <w:sz w:val="18"/>
                <w:szCs w:val="18"/>
              </w:rPr>
              <w:t>грн</w:t>
            </w:r>
            <w:proofErr w:type="spellEnd"/>
            <w:r w:rsidRPr="00721579">
              <w:rPr>
                <w:rFonts w:ascii="Times New Roman" w:hAnsi="Times New Roman" w:cs="Times New Roman"/>
                <w:color w:val="000000"/>
                <w:sz w:val="18"/>
                <w:szCs w:val="18"/>
              </w:rPr>
              <w:t>.</w:t>
            </w:r>
          </w:p>
        </w:tc>
      </w:tr>
    </w:tbl>
    <w:p w:rsidR="00283F30" w:rsidRPr="008A2A8E" w:rsidRDefault="00283F30" w:rsidP="003B710A">
      <w:pPr>
        <w:spacing w:after="0" w:line="240" w:lineRule="auto"/>
        <w:jc w:val="center"/>
        <w:rPr>
          <w:rFonts w:ascii="Times New Roman" w:hAnsi="Times New Roman" w:cs="Times New Roman"/>
          <w:sz w:val="28"/>
        </w:rPr>
      </w:pPr>
    </w:p>
    <w:p w:rsidR="00283F30" w:rsidRDefault="00283F30" w:rsidP="001842B7">
      <w:pPr>
        <w:spacing w:after="0" w:line="240" w:lineRule="auto"/>
        <w:rPr>
          <w:rFonts w:ascii="Times New Roman" w:hAnsi="Times New Roman" w:cs="Times New Roman"/>
          <w:sz w:val="28"/>
          <w:lang w:val="uk-UA"/>
        </w:rPr>
      </w:pPr>
    </w:p>
    <w:p w:rsidR="008A2A8E" w:rsidRDefault="008A2A8E" w:rsidP="001842B7">
      <w:pPr>
        <w:spacing w:after="0" w:line="240" w:lineRule="auto"/>
        <w:rPr>
          <w:rFonts w:ascii="Times New Roman" w:hAnsi="Times New Roman" w:cs="Times New Roman"/>
          <w:lang w:val="uk-UA"/>
        </w:rPr>
      </w:pPr>
    </w:p>
    <w:p w:rsidR="008A2A8E" w:rsidRDefault="008A2A8E" w:rsidP="001842B7">
      <w:pPr>
        <w:spacing w:after="0" w:line="240" w:lineRule="auto"/>
        <w:rPr>
          <w:rFonts w:ascii="Times New Roman" w:hAnsi="Times New Roman" w:cs="Times New Roman"/>
          <w:lang w:val="uk-UA"/>
        </w:rPr>
      </w:pPr>
    </w:p>
    <w:p w:rsidR="008A2A8E" w:rsidRDefault="008A2A8E" w:rsidP="001842B7">
      <w:pPr>
        <w:spacing w:after="0" w:line="240" w:lineRule="auto"/>
        <w:rPr>
          <w:rFonts w:ascii="Times New Roman" w:hAnsi="Times New Roman" w:cs="Times New Roman"/>
          <w:lang w:val="uk-UA"/>
        </w:rPr>
      </w:pPr>
    </w:p>
    <w:p w:rsidR="008A2A8E" w:rsidRPr="008A2A8E" w:rsidRDefault="008A2A8E" w:rsidP="001842B7">
      <w:pPr>
        <w:spacing w:after="0" w:line="240" w:lineRule="auto"/>
        <w:rPr>
          <w:rFonts w:ascii="Times New Roman" w:hAnsi="Times New Roman" w:cs="Times New Roman"/>
          <w:lang w:val="uk-UA"/>
        </w:rPr>
      </w:pPr>
    </w:p>
    <w:p w:rsidR="008A2A8E" w:rsidRPr="00906F4B" w:rsidRDefault="008A2A8E" w:rsidP="001842B7">
      <w:pPr>
        <w:spacing w:after="0" w:line="240" w:lineRule="auto"/>
        <w:rPr>
          <w:rFonts w:ascii="Times New Roman" w:hAnsi="Times New Roman" w:cs="Times New Roman"/>
          <w:sz w:val="20"/>
          <w:szCs w:val="20"/>
          <w:lang w:val="uk-UA"/>
        </w:rPr>
      </w:pPr>
      <w:r w:rsidRPr="00906F4B">
        <w:rPr>
          <w:rFonts w:ascii="Times New Roman" w:hAnsi="Times New Roman" w:cs="Times New Roman"/>
          <w:sz w:val="20"/>
          <w:szCs w:val="20"/>
          <w:lang w:val="uk-UA"/>
        </w:rPr>
        <w:t>21.11.2025 р.</w:t>
      </w:r>
    </w:p>
    <w:sectPr w:rsidR="008A2A8E" w:rsidRPr="00906F4B" w:rsidSect="00FA7501">
      <w:pgSz w:w="16838" w:h="11906" w:orient="landscape"/>
      <w:pgMar w:top="709"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149" w:rsidRDefault="00147149" w:rsidP="000F3764">
      <w:pPr>
        <w:spacing w:after="0" w:line="240" w:lineRule="auto"/>
      </w:pPr>
      <w:r>
        <w:separator/>
      </w:r>
    </w:p>
  </w:endnote>
  <w:endnote w:type="continuationSeparator" w:id="0">
    <w:p w:rsidR="00147149" w:rsidRDefault="00147149" w:rsidP="000F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149" w:rsidRDefault="00147149" w:rsidP="000F3764">
      <w:pPr>
        <w:spacing w:after="0" w:line="240" w:lineRule="auto"/>
      </w:pPr>
      <w:r>
        <w:separator/>
      </w:r>
    </w:p>
  </w:footnote>
  <w:footnote w:type="continuationSeparator" w:id="0">
    <w:p w:rsidR="00147149" w:rsidRDefault="00147149" w:rsidP="000F37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26F7"/>
    <w:rsid w:val="00000BDA"/>
    <w:rsid w:val="000143B9"/>
    <w:rsid w:val="00017E68"/>
    <w:rsid w:val="00022FEE"/>
    <w:rsid w:val="00027AF7"/>
    <w:rsid w:val="00072873"/>
    <w:rsid w:val="00083FEF"/>
    <w:rsid w:val="000A2217"/>
    <w:rsid w:val="000C3DC0"/>
    <w:rsid w:val="000C6C05"/>
    <w:rsid w:val="000C762E"/>
    <w:rsid w:val="000D124F"/>
    <w:rsid w:val="000D61BD"/>
    <w:rsid w:val="000E56B7"/>
    <w:rsid w:val="000F3764"/>
    <w:rsid w:val="000F430E"/>
    <w:rsid w:val="00107DD9"/>
    <w:rsid w:val="0011292A"/>
    <w:rsid w:val="00123B30"/>
    <w:rsid w:val="001278BD"/>
    <w:rsid w:val="00140D9F"/>
    <w:rsid w:val="00147149"/>
    <w:rsid w:val="0015488A"/>
    <w:rsid w:val="0016746E"/>
    <w:rsid w:val="001842B7"/>
    <w:rsid w:val="00193B47"/>
    <w:rsid w:val="001B1B5F"/>
    <w:rsid w:val="001C40D3"/>
    <w:rsid w:val="001D3FF0"/>
    <w:rsid w:val="00247538"/>
    <w:rsid w:val="00254823"/>
    <w:rsid w:val="0025567F"/>
    <w:rsid w:val="00263BE3"/>
    <w:rsid w:val="00266226"/>
    <w:rsid w:val="002766E5"/>
    <w:rsid w:val="00276CED"/>
    <w:rsid w:val="00280F01"/>
    <w:rsid w:val="00283F30"/>
    <w:rsid w:val="00285FD5"/>
    <w:rsid w:val="002B065A"/>
    <w:rsid w:val="002C6510"/>
    <w:rsid w:val="002E5EA7"/>
    <w:rsid w:val="003008E2"/>
    <w:rsid w:val="00325E43"/>
    <w:rsid w:val="00337F23"/>
    <w:rsid w:val="00350572"/>
    <w:rsid w:val="003540A3"/>
    <w:rsid w:val="00354B93"/>
    <w:rsid w:val="00355A54"/>
    <w:rsid w:val="00364BD7"/>
    <w:rsid w:val="00380995"/>
    <w:rsid w:val="00381C2E"/>
    <w:rsid w:val="003A46A0"/>
    <w:rsid w:val="003A4EC8"/>
    <w:rsid w:val="003A529B"/>
    <w:rsid w:val="003B4031"/>
    <w:rsid w:val="003B5E63"/>
    <w:rsid w:val="003B710A"/>
    <w:rsid w:val="003C1DDB"/>
    <w:rsid w:val="003D6310"/>
    <w:rsid w:val="003E4730"/>
    <w:rsid w:val="003E7F56"/>
    <w:rsid w:val="00401D12"/>
    <w:rsid w:val="0043356C"/>
    <w:rsid w:val="00433E7E"/>
    <w:rsid w:val="0045184B"/>
    <w:rsid w:val="004574D3"/>
    <w:rsid w:val="00465A60"/>
    <w:rsid w:val="004853F6"/>
    <w:rsid w:val="00493832"/>
    <w:rsid w:val="004A6DA6"/>
    <w:rsid w:val="004C19E5"/>
    <w:rsid w:val="004F0450"/>
    <w:rsid w:val="004F24DB"/>
    <w:rsid w:val="00506DF6"/>
    <w:rsid w:val="00514930"/>
    <w:rsid w:val="00527B92"/>
    <w:rsid w:val="0053014B"/>
    <w:rsid w:val="0053682F"/>
    <w:rsid w:val="005379AC"/>
    <w:rsid w:val="00552E99"/>
    <w:rsid w:val="005638DA"/>
    <w:rsid w:val="00565674"/>
    <w:rsid w:val="00566948"/>
    <w:rsid w:val="00590E72"/>
    <w:rsid w:val="005A389A"/>
    <w:rsid w:val="005A4E9D"/>
    <w:rsid w:val="005A7D83"/>
    <w:rsid w:val="005B3D31"/>
    <w:rsid w:val="005C30C1"/>
    <w:rsid w:val="005E1168"/>
    <w:rsid w:val="005F632D"/>
    <w:rsid w:val="006017E3"/>
    <w:rsid w:val="006039D4"/>
    <w:rsid w:val="00610684"/>
    <w:rsid w:val="00612675"/>
    <w:rsid w:val="00615FCF"/>
    <w:rsid w:val="006452B3"/>
    <w:rsid w:val="0066445F"/>
    <w:rsid w:val="00686C0C"/>
    <w:rsid w:val="0069054A"/>
    <w:rsid w:val="006921E2"/>
    <w:rsid w:val="006A4516"/>
    <w:rsid w:val="006D1D62"/>
    <w:rsid w:val="006D70B3"/>
    <w:rsid w:val="006E4D07"/>
    <w:rsid w:val="0070415B"/>
    <w:rsid w:val="00704360"/>
    <w:rsid w:val="00705F21"/>
    <w:rsid w:val="00721579"/>
    <w:rsid w:val="007372EF"/>
    <w:rsid w:val="00740CC3"/>
    <w:rsid w:val="00764A0B"/>
    <w:rsid w:val="007661A8"/>
    <w:rsid w:val="00766CE3"/>
    <w:rsid w:val="007767F3"/>
    <w:rsid w:val="00791083"/>
    <w:rsid w:val="00794451"/>
    <w:rsid w:val="007A3309"/>
    <w:rsid w:val="007C153F"/>
    <w:rsid w:val="007D1DA7"/>
    <w:rsid w:val="007E5B5A"/>
    <w:rsid w:val="007F03B7"/>
    <w:rsid w:val="007F0FE2"/>
    <w:rsid w:val="007F5EDB"/>
    <w:rsid w:val="00814B2A"/>
    <w:rsid w:val="00825ED7"/>
    <w:rsid w:val="00827830"/>
    <w:rsid w:val="00844907"/>
    <w:rsid w:val="00870CB0"/>
    <w:rsid w:val="00870F38"/>
    <w:rsid w:val="0087239E"/>
    <w:rsid w:val="00877727"/>
    <w:rsid w:val="00893DD6"/>
    <w:rsid w:val="008A2A8E"/>
    <w:rsid w:val="008E4502"/>
    <w:rsid w:val="008F438A"/>
    <w:rsid w:val="008F4DEF"/>
    <w:rsid w:val="00906F4B"/>
    <w:rsid w:val="00936B33"/>
    <w:rsid w:val="00951F25"/>
    <w:rsid w:val="00956433"/>
    <w:rsid w:val="00971E45"/>
    <w:rsid w:val="00972038"/>
    <w:rsid w:val="009826C3"/>
    <w:rsid w:val="0099614C"/>
    <w:rsid w:val="009A0A51"/>
    <w:rsid w:val="009C3012"/>
    <w:rsid w:val="009F0D37"/>
    <w:rsid w:val="009F18C2"/>
    <w:rsid w:val="009F46DE"/>
    <w:rsid w:val="00A138BC"/>
    <w:rsid w:val="00A17468"/>
    <w:rsid w:val="00A17B86"/>
    <w:rsid w:val="00A433F2"/>
    <w:rsid w:val="00A44854"/>
    <w:rsid w:val="00A47F53"/>
    <w:rsid w:val="00A6448C"/>
    <w:rsid w:val="00A65F21"/>
    <w:rsid w:val="00AA12D1"/>
    <w:rsid w:val="00AB14EC"/>
    <w:rsid w:val="00AC64BD"/>
    <w:rsid w:val="00AF2F84"/>
    <w:rsid w:val="00AF4193"/>
    <w:rsid w:val="00B03F9D"/>
    <w:rsid w:val="00B1010F"/>
    <w:rsid w:val="00B1087C"/>
    <w:rsid w:val="00B2728C"/>
    <w:rsid w:val="00B36B2A"/>
    <w:rsid w:val="00B4706C"/>
    <w:rsid w:val="00B72995"/>
    <w:rsid w:val="00B81C52"/>
    <w:rsid w:val="00BB3EA2"/>
    <w:rsid w:val="00BB5B45"/>
    <w:rsid w:val="00BD5AD3"/>
    <w:rsid w:val="00C04117"/>
    <w:rsid w:val="00C16F66"/>
    <w:rsid w:val="00C20DAC"/>
    <w:rsid w:val="00C23756"/>
    <w:rsid w:val="00C27034"/>
    <w:rsid w:val="00C34495"/>
    <w:rsid w:val="00C807E8"/>
    <w:rsid w:val="00C815B5"/>
    <w:rsid w:val="00C855F1"/>
    <w:rsid w:val="00C9104C"/>
    <w:rsid w:val="00C91796"/>
    <w:rsid w:val="00CA13F6"/>
    <w:rsid w:val="00CF146C"/>
    <w:rsid w:val="00CF6B06"/>
    <w:rsid w:val="00CF794E"/>
    <w:rsid w:val="00D136B0"/>
    <w:rsid w:val="00D21275"/>
    <w:rsid w:val="00D24F14"/>
    <w:rsid w:val="00D36184"/>
    <w:rsid w:val="00D41644"/>
    <w:rsid w:val="00D4537F"/>
    <w:rsid w:val="00D4696C"/>
    <w:rsid w:val="00D53273"/>
    <w:rsid w:val="00D62FD3"/>
    <w:rsid w:val="00D662D5"/>
    <w:rsid w:val="00D70963"/>
    <w:rsid w:val="00D7725E"/>
    <w:rsid w:val="00D84EFE"/>
    <w:rsid w:val="00D86294"/>
    <w:rsid w:val="00D92AE1"/>
    <w:rsid w:val="00D93AE8"/>
    <w:rsid w:val="00DA6171"/>
    <w:rsid w:val="00DB115C"/>
    <w:rsid w:val="00DB2C31"/>
    <w:rsid w:val="00DB4594"/>
    <w:rsid w:val="00DC03F9"/>
    <w:rsid w:val="00DC3F3F"/>
    <w:rsid w:val="00DD12D2"/>
    <w:rsid w:val="00DE5105"/>
    <w:rsid w:val="00DE7F58"/>
    <w:rsid w:val="00DF022A"/>
    <w:rsid w:val="00DF237E"/>
    <w:rsid w:val="00DF3C56"/>
    <w:rsid w:val="00DF45D7"/>
    <w:rsid w:val="00E1490E"/>
    <w:rsid w:val="00E14A9C"/>
    <w:rsid w:val="00E16386"/>
    <w:rsid w:val="00E1663A"/>
    <w:rsid w:val="00E21DD0"/>
    <w:rsid w:val="00E25BBF"/>
    <w:rsid w:val="00E37DDC"/>
    <w:rsid w:val="00E50694"/>
    <w:rsid w:val="00E5372A"/>
    <w:rsid w:val="00E57678"/>
    <w:rsid w:val="00E57DA8"/>
    <w:rsid w:val="00E658A1"/>
    <w:rsid w:val="00E817D2"/>
    <w:rsid w:val="00E834A0"/>
    <w:rsid w:val="00E926F7"/>
    <w:rsid w:val="00E950CA"/>
    <w:rsid w:val="00EA1F65"/>
    <w:rsid w:val="00EB5246"/>
    <w:rsid w:val="00ED69D6"/>
    <w:rsid w:val="00EE2BA0"/>
    <w:rsid w:val="00EF6D8E"/>
    <w:rsid w:val="00F02B85"/>
    <w:rsid w:val="00F229BB"/>
    <w:rsid w:val="00F43727"/>
    <w:rsid w:val="00F51DA6"/>
    <w:rsid w:val="00F66B5B"/>
    <w:rsid w:val="00F82121"/>
    <w:rsid w:val="00F92CB3"/>
    <w:rsid w:val="00FA7501"/>
    <w:rsid w:val="00FB21C7"/>
    <w:rsid w:val="00FB256B"/>
    <w:rsid w:val="00FB339C"/>
    <w:rsid w:val="00FB54ED"/>
    <w:rsid w:val="00FC09F7"/>
    <w:rsid w:val="00FC0FA7"/>
    <w:rsid w:val="00FC4701"/>
    <w:rsid w:val="00FC6046"/>
    <w:rsid w:val="00FD1148"/>
    <w:rsid w:val="00FF2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 w:type="paragraph" w:styleId="ab">
    <w:name w:val="No Spacing"/>
    <w:aliases w:val="ТNR AMPU"/>
    <w:link w:val="ac"/>
    <w:uiPriority w:val="1"/>
    <w:qFormat/>
    <w:rsid w:val="00DF237E"/>
    <w:pPr>
      <w:suppressAutoHyphens/>
      <w:spacing w:after="0" w:line="240" w:lineRule="auto"/>
    </w:pPr>
    <w:rPr>
      <w:rFonts w:ascii="Calibri" w:eastAsia="Calibri" w:hAnsi="Calibri" w:cs="Times New Roman"/>
      <w:lang w:val="uk-UA" w:eastAsia="zh-CN"/>
    </w:rPr>
  </w:style>
  <w:style w:type="character" w:customStyle="1" w:styleId="ac">
    <w:name w:val="Без интервала Знак"/>
    <w:aliases w:val="ТNR AMPU Знак"/>
    <w:link w:val="ab"/>
    <w:uiPriority w:val="1"/>
    <w:locked/>
    <w:rsid w:val="00DF237E"/>
    <w:rPr>
      <w:rFonts w:ascii="Calibri" w:eastAsia="Calibri" w:hAnsi="Calibri" w:cs="Times New Roman"/>
      <w:lang w:val="uk-UA" w:eastAsia="zh-CN"/>
    </w:rPr>
  </w:style>
  <w:style w:type="paragraph" w:styleId="HTML">
    <w:name w:val="HTML Preformatted"/>
    <w:basedOn w:val="a"/>
    <w:link w:val="HTML0"/>
    <w:rsid w:val="00FB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FB256B"/>
    <w:rPr>
      <w:rFonts w:ascii="Courier New" w:eastAsia="Times New Roman" w:hAnsi="Courier New" w:cs="Courier New"/>
      <w:sz w:val="20"/>
      <w:szCs w:val="20"/>
      <w:lang w:eastAsia="ar-SA"/>
    </w:rPr>
  </w:style>
  <w:style w:type="character" w:styleId="ad">
    <w:name w:val="Strong"/>
    <w:basedOn w:val="a0"/>
    <w:qFormat/>
    <w:rsid w:val="00E57678"/>
    <w:rPr>
      <w:b/>
      <w:bCs/>
    </w:rPr>
  </w:style>
  <w:style w:type="paragraph" w:styleId="a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f"/>
    <w:uiPriority w:val="99"/>
    <w:unhideWhenUsed/>
    <w:qFormat/>
    <w:rsid w:val="00E57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3B4031"/>
    <w:pPr>
      <w:widowControl w:val="0"/>
      <w:suppressAutoHyphens/>
      <w:autoSpaceDE w:val="0"/>
      <w:spacing w:after="0" w:line="240" w:lineRule="auto"/>
      <w:ind w:left="720" w:firstLine="425"/>
      <w:contextualSpacing/>
      <w:jc w:val="both"/>
    </w:pPr>
    <w:rPr>
      <w:rFonts w:ascii="Times New Roman" w:eastAsia="Times New Roman" w:hAnsi="Times New Roman" w:cs="Times New Roman"/>
      <w:sz w:val="24"/>
      <w:szCs w:val="24"/>
      <w:lang w:eastAsia="zh-CN"/>
    </w:rPr>
  </w:style>
  <w:style w:type="character" w:customStyle="1" w:styleId="Bold">
    <w:name w:val="Bold"/>
    <w:rsid w:val="003B4031"/>
    <w:rPr>
      <w:rFonts w:ascii="Times New Roman" w:hAnsi="Times New Roman"/>
      <w:b/>
      <w:bCs/>
    </w:rPr>
  </w:style>
  <w:style w:type="character" w:customStyle="1" w:styleId="af">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e"/>
    <w:uiPriority w:val="99"/>
    <w:qFormat/>
    <w:locked/>
    <w:rsid w:val="00465A60"/>
    <w:rPr>
      <w:rFonts w:ascii="Times New Roman" w:eastAsia="Times New Roman" w:hAnsi="Times New Roman" w:cs="Times New Roman"/>
      <w:sz w:val="24"/>
      <w:szCs w:val="24"/>
      <w:lang w:eastAsia="ru-RU"/>
    </w:rPr>
  </w:style>
  <w:style w:type="character" w:customStyle="1" w:styleId="green">
    <w:name w:val="green"/>
    <w:basedOn w:val="a0"/>
    <w:rsid w:val="00DB2C31"/>
  </w:style>
  <w:style w:type="paragraph" w:customStyle="1" w:styleId="af1">
    <w:name w:val="Заголовок"/>
    <w:basedOn w:val="a"/>
    <w:next w:val="af2"/>
    <w:rsid w:val="009F0D37"/>
    <w:pPr>
      <w:keepNext/>
      <w:suppressAutoHyphens/>
      <w:spacing w:before="240" w:after="120"/>
    </w:pPr>
    <w:rPr>
      <w:rFonts w:ascii="Liberation Sans" w:eastAsia="Microsoft YaHei" w:hAnsi="Liberation Sans" w:cs="Arial"/>
      <w:sz w:val="28"/>
      <w:szCs w:val="28"/>
      <w:lang w:val="uk-UA" w:eastAsia="zh-CN"/>
    </w:rPr>
  </w:style>
  <w:style w:type="paragraph" w:styleId="af2">
    <w:name w:val="Body Text"/>
    <w:basedOn w:val="a"/>
    <w:link w:val="af3"/>
    <w:uiPriority w:val="99"/>
    <w:semiHidden/>
    <w:unhideWhenUsed/>
    <w:rsid w:val="009F0D37"/>
    <w:pPr>
      <w:spacing w:after="120"/>
    </w:pPr>
  </w:style>
  <w:style w:type="character" w:customStyle="1" w:styleId="af3">
    <w:name w:val="Основной текст Знак"/>
    <w:basedOn w:val="a0"/>
    <w:link w:val="af2"/>
    <w:uiPriority w:val="99"/>
    <w:semiHidden/>
    <w:rsid w:val="009F0D37"/>
  </w:style>
  <w:style w:type="character" w:customStyle="1" w:styleId="2">
    <w:name w:val="Основной текст (2)_"/>
    <w:link w:val="21"/>
    <w:locked/>
    <w:rsid w:val="00B1087C"/>
    <w:rPr>
      <w:sz w:val="26"/>
      <w:szCs w:val="26"/>
      <w:shd w:val="clear" w:color="auto" w:fill="FFFFFF"/>
    </w:rPr>
  </w:style>
  <w:style w:type="paragraph" w:customStyle="1" w:styleId="21">
    <w:name w:val="Основной текст (2)1"/>
    <w:basedOn w:val="a"/>
    <w:link w:val="2"/>
    <w:rsid w:val="00B1087C"/>
    <w:pPr>
      <w:widowControl w:val="0"/>
      <w:shd w:val="clear" w:color="auto" w:fill="FFFFFF"/>
      <w:spacing w:before="180" w:after="240" w:line="240" w:lineRule="atLeast"/>
      <w:ind w:hanging="6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81739">
      <w:bodyDiv w:val="1"/>
      <w:marLeft w:val="0"/>
      <w:marRight w:val="0"/>
      <w:marTop w:val="0"/>
      <w:marBottom w:val="0"/>
      <w:divBdr>
        <w:top w:val="none" w:sz="0" w:space="0" w:color="auto"/>
        <w:left w:val="none" w:sz="0" w:space="0" w:color="auto"/>
        <w:bottom w:val="none" w:sz="0" w:space="0" w:color="auto"/>
        <w:right w:val="none" w:sz="0" w:space="0" w:color="auto"/>
      </w:divBdr>
    </w:div>
    <w:div w:id="210312902">
      <w:bodyDiv w:val="1"/>
      <w:marLeft w:val="0"/>
      <w:marRight w:val="0"/>
      <w:marTop w:val="0"/>
      <w:marBottom w:val="0"/>
      <w:divBdr>
        <w:top w:val="none" w:sz="0" w:space="0" w:color="auto"/>
        <w:left w:val="none" w:sz="0" w:space="0" w:color="auto"/>
        <w:bottom w:val="none" w:sz="0" w:space="0" w:color="auto"/>
        <w:right w:val="none" w:sz="0" w:space="0" w:color="auto"/>
      </w:divBdr>
    </w:div>
    <w:div w:id="245264200">
      <w:bodyDiv w:val="1"/>
      <w:marLeft w:val="0"/>
      <w:marRight w:val="0"/>
      <w:marTop w:val="0"/>
      <w:marBottom w:val="0"/>
      <w:divBdr>
        <w:top w:val="none" w:sz="0" w:space="0" w:color="auto"/>
        <w:left w:val="none" w:sz="0" w:space="0" w:color="auto"/>
        <w:bottom w:val="none" w:sz="0" w:space="0" w:color="auto"/>
        <w:right w:val="none" w:sz="0" w:space="0" w:color="auto"/>
      </w:divBdr>
    </w:div>
    <w:div w:id="423962479">
      <w:bodyDiv w:val="1"/>
      <w:marLeft w:val="0"/>
      <w:marRight w:val="0"/>
      <w:marTop w:val="0"/>
      <w:marBottom w:val="0"/>
      <w:divBdr>
        <w:top w:val="none" w:sz="0" w:space="0" w:color="auto"/>
        <w:left w:val="none" w:sz="0" w:space="0" w:color="auto"/>
        <w:bottom w:val="none" w:sz="0" w:space="0" w:color="auto"/>
        <w:right w:val="none" w:sz="0" w:space="0" w:color="auto"/>
      </w:divBdr>
    </w:div>
    <w:div w:id="443383044">
      <w:bodyDiv w:val="1"/>
      <w:marLeft w:val="0"/>
      <w:marRight w:val="0"/>
      <w:marTop w:val="0"/>
      <w:marBottom w:val="0"/>
      <w:divBdr>
        <w:top w:val="none" w:sz="0" w:space="0" w:color="auto"/>
        <w:left w:val="none" w:sz="0" w:space="0" w:color="auto"/>
        <w:bottom w:val="none" w:sz="0" w:space="0" w:color="auto"/>
        <w:right w:val="none" w:sz="0" w:space="0" w:color="auto"/>
      </w:divBdr>
    </w:div>
    <w:div w:id="961767245">
      <w:bodyDiv w:val="1"/>
      <w:marLeft w:val="0"/>
      <w:marRight w:val="0"/>
      <w:marTop w:val="0"/>
      <w:marBottom w:val="0"/>
      <w:divBdr>
        <w:top w:val="none" w:sz="0" w:space="0" w:color="auto"/>
        <w:left w:val="none" w:sz="0" w:space="0" w:color="auto"/>
        <w:bottom w:val="none" w:sz="0" w:space="0" w:color="auto"/>
        <w:right w:val="none" w:sz="0" w:space="0" w:color="auto"/>
      </w:divBdr>
    </w:div>
    <w:div w:id="19801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Pages>
  <Words>318</Words>
  <Characters>1816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Сичко</dc:creator>
  <cp:lastModifiedBy>User</cp:lastModifiedBy>
  <cp:revision>137</cp:revision>
  <cp:lastPrinted>2025-03-17T10:24:00Z</cp:lastPrinted>
  <dcterms:created xsi:type="dcterms:W3CDTF">2021-11-08T13:50:00Z</dcterms:created>
  <dcterms:modified xsi:type="dcterms:W3CDTF">2026-03-02T08:30:00Z</dcterms:modified>
</cp:coreProperties>
</file>